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B82" w:rsidRPr="00421373" w:rsidRDefault="00E86B82" w:rsidP="00601D6C">
      <w:pPr>
        <w:spacing w:before="120" w:after="120" w:line="360" w:lineRule="auto"/>
        <w:jc w:val="both"/>
        <w:rPr>
          <w:rFonts w:ascii="Arial" w:hAnsi="Arial" w:cs="Arial"/>
          <w:b/>
          <w:bCs/>
          <w:sz w:val="28"/>
          <w:szCs w:val="28"/>
        </w:rPr>
      </w:pPr>
      <w:r w:rsidRPr="00421373">
        <w:rPr>
          <w:rFonts w:ascii="Arial" w:hAnsi="Arial" w:cs="Arial"/>
          <w:b/>
          <w:bCs/>
          <w:sz w:val="28"/>
          <w:szCs w:val="28"/>
        </w:rPr>
        <w:t xml:space="preserve">Station Nr. </w:t>
      </w:r>
      <w:r>
        <w:rPr>
          <w:rFonts w:ascii="Arial" w:hAnsi="Arial" w:cs="Arial"/>
          <w:b/>
          <w:bCs/>
          <w:sz w:val="28"/>
          <w:szCs w:val="28"/>
        </w:rPr>
        <w:t>3</w:t>
      </w:r>
      <w:r w:rsidR="00A06253">
        <w:rPr>
          <w:rFonts w:ascii="Arial" w:hAnsi="Arial" w:cs="Arial"/>
          <w:b/>
          <w:bCs/>
          <w:sz w:val="28"/>
          <w:szCs w:val="28"/>
        </w:rPr>
        <w:t>:</w:t>
      </w:r>
    </w:p>
    <w:p w:rsidR="00E86B82" w:rsidRPr="00421373" w:rsidRDefault="00E86B82" w:rsidP="00601D6C">
      <w:pPr>
        <w:spacing w:before="120" w:after="120" w:line="360" w:lineRule="auto"/>
        <w:jc w:val="both"/>
        <w:rPr>
          <w:rFonts w:ascii="Arial" w:hAnsi="Arial" w:cs="Arial"/>
          <w:b/>
          <w:bCs/>
          <w:sz w:val="28"/>
          <w:szCs w:val="28"/>
        </w:rPr>
      </w:pPr>
      <w:r w:rsidRPr="00421373">
        <w:rPr>
          <w:rFonts w:ascii="Arial" w:hAnsi="Arial" w:cs="Arial"/>
          <w:b/>
          <w:bCs/>
          <w:sz w:val="28"/>
          <w:szCs w:val="28"/>
        </w:rPr>
        <w:t xml:space="preserve">Tod und Trauer im </w:t>
      </w:r>
      <w:r>
        <w:rPr>
          <w:rFonts w:ascii="Arial" w:hAnsi="Arial" w:cs="Arial"/>
          <w:b/>
          <w:bCs/>
          <w:sz w:val="28"/>
          <w:szCs w:val="28"/>
        </w:rPr>
        <w:t>Islam</w:t>
      </w:r>
    </w:p>
    <w:p w:rsidR="009E17C5" w:rsidRPr="009E17C5" w:rsidRDefault="009E17C5" w:rsidP="00601D6C">
      <w:pPr>
        <w:spacing w:before="120" w:after="120" w:line="360" w:lineRule="auto"/>
        <w:jc w:val="both"/>
        <w:rPr>
          <w:rFonts w:ascii="Arial" w:eastAsiaTheme="minorEastAsia" w:hAnsi="Arial" w:cs="Arial"/>
          <w:lang w:eastAsia="de-DE"/>
        </w:rPr>
      </w:pPr>
      <w:r w:rsidRPr="009E17C5">
        <w:rPr>
          <w:rFonts w:ascii="Arial" w:eastAsiaTheme="minorEastAsia" w:hAnsi="Arial" w:cs="Arial"/>
          <w:lang w:eastAsia="de-DE"/>
        </w:rPr>
        <w:t>Für Muslime ist das irdische Leben eher vorläufig und als Vorbereitung und Prüfung für das jenseitige zu verstehen. Anders herum ausgedrückt geht es bei der Auferstehung um die Fortdauer des individuellen Lebens, für das man auch über den Tod hinaus verantwortlich ist.</w:t>
      </w:r>
    </w:p>
    <w:p w:rsidR="009E17C5" w:rsidRDefault="009E17C5" w:rsidP="00601D6C">
      <w:pPr>
        <w:widowControl w:val="0"/>
        <w:kinsoku w:val="0"/>
        <w:overflowPunct w:val="0"/>
        <w:spacing w:before="120" w:after="120" w:line="360" w:lineRule="auto"/>
        <w:jc w:val="both"/>
        <w:textAlignment w:val="baseline"/>
        <w:rPr>
          <w:rFonts w:ascii="Arial" w:eastAsiaTheme="minorEastAsia" w:hAnsi="Arial" w:cs="Arial"/>
          <w:lang w:eastAsia="de-DE"/>
        </w:rPr>
      </w:pPr>
      <w:r w:rsidRPr="009E17C5">
        <w:rPr>
          <w:rFonts w:ascii="Arial" w:eastAsiaTheme="minorEastAsia" w:hAnsi="Arial" w:cs="Arial"/>
          <w:lang w:eastAsia="de-DE"/>
        </w:rPr>
        <w:t>Es gibt drei Bilder, die diesem Prüfungsgedanken Ausdruck verleihen:</w:t>
      </w:r>
      <w:r w:rsidRPr="009E17C5">
        <w:rPr>
          <w:rFonts w:ascii="Arial" w:eastAsiaTheme="minorEastAsia" w:hAnsi="Arial" w:cs="Arial"/>
          <w:lang w:eastAsia="de-DE"/>
        </w:rPr>
        <w:tab/>
      </w:r>
    </w:p>
    <w:p w:rsidR="009E17C5" w:rsidRDefault="009E17C5" w:rsidP="00601D6C">
      <w:pPr>
        <w:widowControl w:val="0"/>
        <w:kinsoku w:val="0"/>
        <w:overflowPunct w:val="0"/>
        <w:spacing w:before="120" w:after="120" w:line="360" w:lineRule="auto"/>
        <w:jc w:val="both"/>
        <w:textAlignment w:val="baseline"/>
        <w:rPr>
          <w:rFonts w:ascii="Arial" w:eastAsiaTheme="minorEastAsia" w:hAnsi="Arial" w:cs="Arial"/>
          <w:lang w:eastAsia="de-DE"/>
        </w:rPr>
      </w:pPr>
      <w:r w:rsidRPr="009E17C5">
        <w:rPr>
          <w:rFonts w:ascii="Arial" w:eastAsiaTheme="minorEastAsia" w:hAnsi="Arial" w:cs="Arial"/>
          <w:lang w:eastAsia="de-DE"/>
        </w:rPr>
        <w:t>Die Tradition überliefert, dass unmittelbar nach der Bestattung zwei Engel in die Gruft steigen und dem Verstorbenen d</w:t>
      </w:r>
      <w:r w:rsidR="00BA2D9A">
        <w:rPr>
          <w:rFonts w:ascii="Arial" w:eastAsiaTheme="minorEastAsia" w:hAnsi="Arial" w:cs="Arial"/>
          <w:lang w:eastAsia="de-DE"/>
        </w:rPr>
        <w:t>ie vier Prüfungsfragen vorlegen:</w:t>
      </w:r>
    </w:p>
    <w:p w:rsidR="009E17C5" w:rsidRDefault="009E17C5" w:rsidP="00601D6C">
      <w:pPr>
        <w:widowControl w:val="0"/>
        <w:kinsoku w:val="0"/>
        <w:overflowPunct w:val="0"/>
        <w:spacing w:before="120" w:after="120" w:line="360" w:lineRule="auto"/>
        <w:ind w:left="851"/>
        <w:jc w:val="both"/>
        <w:textAlignment w:val="baseline"/>
        <w:rPr>
          <w:rFonts w:ascii="Arial" w:eastAsiaTheme="minorEastAsia" w:hAnsi="Arial" w:cs="Arial"/>
          <w:lang w:eastAsia="de-DE"/>
        </w:rPr>
      </w:pPr>
      <w:r w:rsidRPr="009E17C5">
        <w:rPr>
          <w:rFonts w:ascii="Arial" w:eastAsiaTheme="minorEastAsia" w:hAnsi="Arial" w:cs="Arial"/>
          <w:lang w:eastAsia="de-DE"/>
        </w:rPr>
        <w:t xml:space="preserve">Wer ist dein Gott? </w:t>
      </w:r>
    </w:p>
    <w:p w:rsidR="009E17C5" w:rsidRDefault="009E17C5" w:rsidP="00601D6C">
      <w:pPr>
        <w:widowControl w:val="0"/>
        <w:kinsoku w:val="0"/>
        <w:overflowPunct w:val="0"/>
        <w:spacing w:before="120" w:after="120" w:line="360" w:lineRule="auto"/>
        <w:ind w:left="851"/>
        <w:jc w:val="both"/>
        <w:textAlignment w:val="baseline"/>
        <w:rPr>
          <w:rFonts w:ascii="Arial" w:eastAsiaTheme="minorEastAsia" w:hAnsi="Arial" w:cs="Arial"/>
          <w:lang w:eastAsia="de-DE"/>
        </w:rPr>
      </w:pPr>
      <w:r w:rsidRPr="009E17C5">
        <w:rPr>
          <w:rFonts w:ascii="Arial" w:eastAsiaTheme="minorEastAsia" w:hAnsi="Arial" w:cs="Arial"/>
          <w:lang w:eastAsia="de-DE"/>
        </w:rPr>
        <w:t xml:space="preserve">Wer ist dein Prophet? </w:t>
      </w:r>
    </w:p>
    <w:p w:rsidR="009E17C5" w:rsidRDefault="009E17C5" w:rsidP="00601D6C">
      <w:pPr>
        <w:widowControl w:val="0"/>
        <w:kinsoku w:val="0"/>
        <w:overflowPunct w:val="0"/>
        <w:spacing w:before="120" w:after="120" w:line="360" w:lineRule="auto"/>
        <w:ind w:left="851"/>
        <w:jc w:val="both"/>
        <w:textAlignment w:val="baseline"/>
        <w:rPr>
          <w:rFonts w:ascii="Arial" w:eastAsiaTheme="minorEastAsia" w:hAnsi="Arial" w:cs="Arial"/>
          <w:lang w:eastAsia="de-DE"/>
        </w:rPr>
      </w:pPr>
      <w:r w:rsidRPr="009E17C5">
        <w:rPr>
          <w:rFonts w:ascii="Arial" w:eastAsiaTheme="minorEastAsia" w:hAnsi="Arial" w:cs="Arial"/>
          <w:lang w:eastAsia="de-DE"/>
        </w:rPr>
        <w:t xml:space="preserve">Welches ist deine Religion? </w:t>
      </w:r>
    </w:p>
    <w:p w:rsidR="009E17C5" w:rsidRDefault="009E17C5" w:rsidP="00601D6C">
      <w:pPr>
        <w:widowControl w:val="0"/>
        <w:kinsoku w:val="0"/>
        <w:overflowPunct w:val="0"/>
        <w:spacing w:before="120" w:after="120" w:line="360" w:lineRule="auto"/>
        <w:ind w:left="851"/>
        <w:jc w:val="both"/>
        <w:textAlignment w:val="baseline"/>
        <w:rPr>
          <w:rFonts w:ascii="Arial" w:eastAsiaTheme="minorEastAsia" w:hAnsi="Arial" w:cs="Arial"/>
          <w:lang w:eastAsia="de-DE"/>
        </w:rPr>
      </w:pPr>
      <w:r w:rsidRPr="009E17C5">
        <w:rPr>
          <w:rFonts w:ascii="Arial" w:eastAsiaTheme="minorEastAsia" w:hAnsi="Arial" w:cs="Arial"/>
          <w:lang w:eastAsia="de-DE"/>
        </w:rPr>
        <w:t xml:space="preserve">Welches ist deine </w:t>
      </w:r>
      <w:r w:rsidRPr="009E17C5">
        <w:rPr>
          <w:rFonts w:ascii="Arial" w:eastAsiaTheme="minorEastAsia" w:hAnsi="Arial" w:cs="Arial"/>
          <w:i/>
          <w:iCs/>
          <w:lang w:eastAsia="de-DE"/>
        </w:rPr>
        <w:t xml:space="preserve">Kibla </w:t>
      </w:r>
      <w:r w:rsidRPr="009E17C5">
        <w:rPr>
          <w:rFonts w:ascii="Arial" w:eastAsiaTheme="minorEastAsia" w:hAnsi="Arial" w:cs="Arial"/>
          <w:lang w:eastAsia="de-DE"/>
        </w:rPr>
        <w:t xml:space="preserve">(=Gebetsrichtung)? </w:t>
      </w:r>
    </w:p>
    <w:p w:rsidR="009E17C5" w:rsidRPr="009E17C5" w:rsidRDefault="009E17C5" w:rsidP="00601D6C">
      <w:pPr>
        <w:widowControl w:val="0"/>
        <w:kinsoku w:val="0"/>
        <w:overflowPunct w:val="0"/>
        <w:spacing w:before="120" w:after="120" w:line="360" w:lineRule="auto"/>
        <w:jc w:val="both"/>
        <w:textAlignment w:val="baseline"/>
        <w:rPr>
          <w:rFonts w:ascii="Arial" w:eastAsiaTheme="minorEastAsia" w:hAnsi="Arial" w:cs="Arial"/>
          <w:lang w:eastAsia="de-DE"/>
        </w:rPr>
      </w:pPr>
      <w:r w:rsidRPr="009E17C5">
        <w:rPr>
          <w:rFonts w:ascii="Arial" w:eastAsiaTheme="minorEastAsia" w:hAnsi="Arial" w:cs="Arial"/>
          <w:lang w:eastAsia="de-DE"/>
        </w:rPr>
        <w:t>Die entsprechenden Antworten (Allah, Mohammed, Islam, Mekka) werden deshalb dem Sterbenden vor dem Tode unablässig ins Ohr gesagt. Kann der Verstorbene die richtigen Antworten geben, so wird seine Seele bis zur allgemeinen Auferstehung aufbewahrt.</w:t>
      </w:r>
    </w:p>
    <w:p w:rsidR="00BA2D9A" w:rsidRDefault="009E17C5" w:rsidP="00601D6C">
      <w:pPr>
        <w:widowControl w:val="0"/>
        <w:kinsoku w:val="0"/>
        <w:overflowPunct w:val="0"/>
        <w:spacing w:before="120" w:after="120" w:line="360" w:lineRule="auto"/>
        <w:jc w:val="both"/>
        <w:textAlignment w:val="baseline"/>
        <w:rPr>
          <w:rFonts w:ascii="Arial" w:eastAsiaTheme="minorEastAsia" w:hAnsi="Arial" w:cs="Arial"/>
          <w:lang w:eastAsia="de-DE"/>
        </w:rPr>
      </w:pPr>
      <w:r w:rsidRPr="009E17C5">
        <w:rPr>
          <w:rFonts w:ascii="Arial" w:eastAsiaTheme="minorEastAsia" w:hAnsi="Arial" w:cs="Arial"/>
          <w:lang w:eastAsia="de-DE"/>
        </w:rPr>
        <w:t xml:space="preserve">Der Koran spricht davon, dass sie in einem traumlosen Schlaf (Sure 6,60; 30,55-56; 20,103) in Allahs Nähe weilt. </w:t>
      </w:r>
    </w:p>
    <w:p w:rsidR="00BA2D9A" w:rsidRDefault="00BA2D9A" w:rsidP="00601D6C">
      <w:pPr>
        <w:widowControl w:val="0"/>
        <w:kinsoku w:val="0"/>
        <w:overflowPunct w:val="0"/>
        <w:spacing w:before="120" w:after="120" w:line="360" w:lineRule="auto"/>
        <w:jc w:val="both"/>
        <w:textAlignment w:val="baseline"/>
        <w:rPr>
          <w:rFonts w:ascii="Arial" w:eastAsiaTheme="minorEastAsia" w:hAnsi="Arial" w:cs="Arial"/>
          <w:lang w:eastAsia="de-DE"/>
        </w:rPr>
      </w:pPr>
    </w:p>
    <w:p w:rsidR="009E17C5" w:rsidRDefault="009E17C5" w:rsidP="00601D6C">
      <w:pPr>
        <w:widowControl w:val="0"/>
        <w:kinsoku w:val="0"/>
        <w:overflowPunct w:val="0"/>
        <w:spacing w:before="120" w:after="120" w:line="360" w:lineRule="auto"/>
        <w:jc w:val="both"/>
        <w:textAlignment w:val="baseline"/>
        <w:rPr>
          <w:rFonts w:ascii="Arial" w:eastAsiaTheme="minorEastAsia" w:hAnsi="Arial" w:cs="Arial"/>
          <w:lang w:eastAsia="de-DE"/>
        </w:rPr>
      </w:pPr>
      <w:r w:rsidRPr="009E17C5">
        <w:rPr>
          <w:rFonts w:ascii="Arial" w:eastAsiaTheme="minorEastAsia" w:hAnsi="Arial" w:cs="Arial"/>
          <w:lang w:eastAsia="de-DE"/>
        </w:rPr>
        <w:t>Auch der Tag des großen Gerichts trägt den Prüfungscharakter. Es ist der Anfang eines Lebens, das niemals enden wird. An diesem Tag werden alle Toten aufwachen und alle Menschen werden gemäß ihrem Glauben und ihren Taten belohnt oder bestraft. Während die Menschen auf dem Gefilde der Auferstehung zusammenkommen, werden Bücher, in die die Schutzengel des Menschen täglich seine Taten eingetragen haben, herbei getragen. Aus ihnen lesen die Menschen ihre Taten vor. Die Blätter des Buches werden auf einer Waage gewogen, wobei die Blätter mit guten Taten mehr wiegen. Diejenigen, die glaubten und das Rechte taten, werden in das Paradies eingehen (Sure 30,15; 69,21ff).</w:t>
      </w:r>
    </w:p>
    <w:p w:rsidR="00EC2FE9" w:rsidRPr="009E17C5" w:rsidRDefault="00EC2FE9" w:rsidP="00601D6C">
      <w:pPr>
        <w:widowControl w:val="0"/>
        <w:kinsoku w:val="0"/>
        <w:overflowPunct w:val="0"/>
        <w:spacing w:before="120" w:after="120" w:line="360" w:lineRule="auto"/>
        <w:jc w:val="both"/>
        <w:textAlignment w:val="baseline"/>
        <w:rPr>
          <w:rFonts w:ascii="Arial" w:eastAsiaTheme="minorEastAsia" w:hAnsi="Arial" w:cs="Arial"/>
          <w:lang w:eastAsia="de-DE"/>
        </w:rPr>
      </w:pPr>
    </w:p>
    <w:p w:rsidR="00601D6C" w:rsidRDefault="00601D6C" w:rsidP="00601D6C">
      <w:pPr>
        <w:widowControl w:val="0"/>
        <w:kinsoku w:val="0"/>
        <w:overflowPunct w:val="0"/>
        <w:spacing w:before="120" w:after="120" w:line="360" w:lineRule="auto"/>
        <w:jc w:val="both"/>
        <w:textAlignment w:val="baseline"/>
        <w:rPr>
          <w:rFonts w:ascii="Arial" w:eastAsiaTheme="minorEastAsia" w:hAnsi="Arial" w:cs="Arial"/>
          <w:lang w:eastAsia="de-DE"/>
        </w:rPr>
      </w:pPr>
    </w:p>
    <w:p w:rsidR="009E17C5" w:rsidRPr="009E17C5" w:rsidRDefault="009E17C5" w:rsidP="00601D6C">
      <w:pPr>
        <w:widowControl w:val="0"/>
        <w:kinsoku w:val="0"/>
        <w:overflowPunct w:val="0"/>
        <w:spacing w:before="120" w:after="120" w:line="360" w:lineRule="auto"/>
        <w:jc w:val="both"/>
        <w:textAlignment w:val="baseline"/>
        <w:rPr>
          <w:rFonts w:ascii="Arial" w:eastAsiaTheme="minorEastAsia" w:hAnsi="Arial" w:cs="Arial"/>
          <w:lang w:eastAsia="de-DE"/>
        </w:rPr>
      </w:pPr>
      <w:r w:rsidRPr="009E17C5">
        <w:rPr>
          <w:rFonts w:ascii="Arial" w:eastAsiaTheme="minorEastAsia" w:hAnsi="Arial" w:cs="Arial"/>
          <w:lang w:eastAsia="de-DE"/>
        </w:rPr>
        <w:lastRenderedPageBreak/>
        <w:t xml:space="preserve">Als drittes Bild für eine Prüfung wird die Brücke </w:t>
      </w:r>
      <w:proofErr w:type="spellStart"/>
      <w:r w:rsidRPr="009E17C5">
        <w:rPr>
          <w:rFonts w:ascii="Arial" w:eastAsiaTheme="minorEastAsia" w:hAnsi="Arial" w:cs="Arial"/>
          <w:i/>
          <w:iCs/>
          <w:lang w:eastAsia="de-DE"/>
        </w:rPr>
        <w:t>Shirat</w:t>
      </w:r>
      <w:proofErr w:type="spellEnd"/>
      <w:r w:rsidR="00A06253">
        <w:rPr>
          <w:rFonts w:ascii="Arial" w:eastAsiaTheme="minorEastAsia" w:hAnsi="Arial" w:cs="Arial"/>
          <w:i/>
          <w:iCs/>
          <w:lang w:eastAsia="de-DE"/>
        </w:rPr>
        <w:t xml:space="preserve"> </w:t>
      </w:r>
      <w:r w:rsidRPr="009E17C5">
        <w:rPr>
          <w:rFonts w:ascii="Arial" w:eastAsiaTheme="minorEastAsia" w:hAnsi="Arial" w:cs="Arial"/>
          <w:lang w:eastAsia="de-DE"/>
        </w:rPr>
        <w:t xml:space="preserve">beschrieben. </w:t>
      </w:r>
      <w:r w:rsidR="00EC2FE9">
        <w:rPr>
          <w:rFonts w:ascii="Arial" w:eastAsiaTheme="minorEastAsia" w:hAnsi="Arial" w:cs="Arial"/>
          <w:lang w:eastAsia="de-DE"/>
        </w:rPr>
        <w:t>Jeder Mensch hat die Auf</w:t>
      </w:r>
      <w:r w:rsidRPr="009E17C5">
        <w:rPr>
          <w:rFonts w:ascii="Arial" w:eastAsiaTheme="minorEastAsia" w:hAnsi="Arial" w:cs="Arial"/>
          <w:lang w:eastAsia="de-DE"/>
        </w:rPr>
        <w:t>gabe, sie zu überschreiten, sie ist scharf wie ein Schwert und dünn wie ein Haar. Sie spannt sich über den Abgrund der Hölle. Die Ungläubigen gleiten auf ihr aus und stürzen i</w:t>
      </w:r>
      <w:r w:rsidR="00EC2FE9">
        <w:rPr>
          <w:rFonts w:ascii="Arial" w:eastAsiaTheme="minorEastAsia" w:hAnsi="Arial" w:cs="Arial"/>
          <w:lang w:eastAsia="de-DE"/>
        </w:rPr>
        <w:t>n die Tiefe; die Gläubigen dage</w:t>
      </w:r>
      <w:r w:rsidRPr="009E17C5">
        <w:rPr>
          <w:rFonts w:ascii="Arial" w:eastAsiaTheme="minorEastAsia" w:hAnsi="Arial" w:cs="Arial"/>
          <w:lang w:eastAsia="de-DE"/>
        </w:rPr>
        <w:t>gen überschreiten sie und gelangen so sicher ins Paradies. Die Vorstellung dieser Brücke wird aus Sure 36,66 und 37,23 abgeleitet, wo das Wort „</w:t>
      </w:r>
      <w:proofErr w:type="spellStart"/>
      <w:r w:rsidRPr="009E17C5">
        <w:rPr>
          <w:rFonts w:ascii="Arial" w:eastAsiaTheme="minorEastAsia" w:hAnsi="Arial" w:cs="Arial"/>
          <w:lang w:eastAsia="de-DE"/>
        </w:rPr>
        <w:t>sirat</w:t>
      </w:r>
      <w:proofErr w:type="spellEnd"/>
      <w:r w:rsidRPr="009E17C5">
        <w:rPr>
          <w:rFonts w:ascii="Arial" w:eastAsiaTheme="minorEastAsia" w:hAnsi="Arial" w:cs="Arial"/>
          <w:lang w:eastAsia="de-DE"/>
        </w:rPr>
        <w:t xml:space="preserve">" in der Bedeutung „Weg, Pfad" vorkommt. Jene, die glauben und sagen </w:t>
      </w:r>
      <w:r w:rsidRPr="009E17C5">
        <w:rPr>
          <w:rFonts w:ascii="Arial" w:eastAsiaTheme="minorEastAsia" w:hAnsi="Arial" w:cs="Arial"/>
          <w:i/>
          <w:iCs/>
          <w:lang w:eastAsia="de-DE"/>
        </w:rPr>
        <w:t xml:space="preserve">Es ist kein wahrer Gott außer Gott und Muhammed ist der Gesandte Gottes </w:t>
      </w:r>
      <w:r w:rsidR="00EC2FE9">
        <w:rPr>
          <w:rFonts w:ascii="Arial" w:eastAsiaTheme="minorEastAsia" w:hAnsi="Arial" w:cs="Arial"/>
          <w:lang w:eastAsia="de-DE"/>
        </w:rPr>
        <w:t>wer</w:t>
      </w:r>
      <w:r w:rsidRPr="009E17C5">
        <w:rPr>
          <w:rFonts w:ascii="Arial" w:eastAsiaTheme="minorEastAsia" w:hAnsi="Arial" w:cs="Arial"/>
          <w:lang w:eastAsia="de-DE"/>
        </w:rPr>
        <w:t>den belohnt und gelangen für immer ins Paradies. Ungläubige aber und Anhänger anderer Religionen werden ins Höllenfeuer fallen.</w:t>
      </w:r>
    </w:p>
    <w:p w:rsidR="00BA2D9A" w:rsidRDefault="00BA2D9A" w:rsidP="00601D6C">
      <w:pPr>
        <w:widowControl w:val="0"/>
        <w:kinsoku w:val="0"/>
        <w:overflowPunct w:val="0"/>
        <w:spacing w:before="120" w:after="120" w:line="360" w:lineRule="auto"/>
        <w:jc w:val="both"/>
        <w:textAlignment w:val="baseline"/>
        <w:rPr>
          <w:rFonts w:ascii="Arial" w:eastAsiaTheme="minorEastAsia" w:hAnsi="Arial" w:cs="Arial"/>
          <w:lang w:eastAsia="de-DE"/>
        </w:rPr>
      </w:pPr>
    </w:p>
    <w:p w:rsidR="009E17C5" w:rsidRDefault="009E17C5" w:rsidP="00601D6C">
      <w:pPr>
        <w:widowControl w:val="0"/>
        <w:kinsoku w:val="0"/>
        <w:overflowPunct w:val="0"/>
        <w:spacing w:before="120" w:after="120" w:line="360" w:lineRule="auto"/>
        <w:jc w:val="both"/>
        <w:textAlignment w:val="baseline"/>
        <w:rPr>
          <w:rFonts w:ascii="Arial" w:eastAsiaTheme="minorEastAsia" w:hAnsi="Arial" w:cs="Arial"/>
          <w:lang w:eastAsia="de-DE"/>
        </w:rPr>
      </w:pPr>
      <w:r w:rsidRPr="009E17C5">
        <w:rPr>
          <w:rFonts w:ascii="Arial" w:eastAsiaTheme="minorEastAsia" w:hAnsi="Arial" w:cs="Arial"/>
          <w:lang w:eastAsia="de-DE"/>
        </w:rPr>
        <w:t>Wenn ein Mensch im Sterben liegt, versammeln sich Angehörige bei</w:t>
      </w:r>
      <w:r w:rsidR="00EC2FE9">
        <w:rPr>
          <w:rFonts w:ascii="Arial" w:eastAsiaTheme="minorEastAsia" w:hAnsi="Arial" w:cs="Arial"/>
          <w:lang w:eastAsia="de-DE"/>
        </w:rPr>
        <w:t xml:space="preserve"> ihm, um mit ihm zu beten. Unab</w:t>
      </w:r>
      <w:r w:rsidRPr="009E17C5">
        <w:rPr>
          <w:rFonts w:ascii="Arial" w:eastAsiaTheme="minorEastAsia" w:hAnsi="Arial" w:cs="Arial"/>
          <w:lang w:eastAsia="de-DE"/>
        </w:rPr>
        <w:t xml:space="preserve">lässig wird gemeinsam die </w:t>
      </w:r>
      <w:proofErr w:type="spellStart"/>
      <w:r w:rsidRPr="009E17C5">
        <w:rPr>
          <w:rFonts w:ascii="Arial" w:eastAsiaTheme="minorEastAsia" w:hAnsi="Arial" w:cs="Arial"/>
          <w:i/>
          <w:iCs/>
          <w:lang w:eastAsia="de-DE"/>
        </w:rPr>
        <w:t>Schahada</w:t>
      </w:r>
      <w:proofErr w:type="spellEnd"/>
      <w:r w:rsidR="00A06253">
        <w:rPr>
          <w:rFonts w:ascii="Arial" w:eastAsiaTheme="minorEastAsia" w:hAnsi="Arial" w:cs="Arial"/>
          <w:i/>
          <w:iCs/>
          <w:lang w:eastAsia="de-DE"/>
        </w:rPr>
        <w:t xml:space="preserve"> </w:t>
      </w:r>
      <w:r w:rsidRPr="009E17C5">
        <w:rPr>
          <w:rFonts w:ascii="Arial" w:eastAsiaTheme="minorEastAsia" w:hAnsi="Arial" w:cs="Arial"/>
          <w:lang w:eastAsia="de-DE"/>
        </w:rPr>
        <w:t xml:space="preserve">gesprochen, das ist das Glaubensbekenntnis: </w:t>
      </w:r>
      <w:r w:rsidRPr="009E17C5">
        <w:rPr>
          <w:rFonts w:ascii="Arial" w:eastAsiaTheme="minorEastAsia" w:hAnsi="Arial" w:cs="Arial"/>
          <w:i/>
          <w:iCs/>
          <w:lang w:eastAsia="de-DE"/>
        </w:rPr>
        <w:t>Ich bezeuge, es gibt keinen Gott außer Allah, Muhammed ist sein Pro</w:t>
      </w:r>
      <w:r w:rsidRPr="009E17C5">
        <w:rPr>
          <w:rFonts w:ascii="Arial" w:eastAsiaTheme="minorEastAsia" w:hAnsi="Arial" w:cs="Arial"/>
          <w:i/>
          <w:iCs/>
          <w:lang w:eastAsia="de-DE"/>
        </w:rPr>
        <w:softHyphen/>
        <w:t xml:space="preserve">phet. </w:t>
      </w:r>
      <w:r w:rsidRPr="009E17C5">
        <w:rPr>
          <w:rFonts w:ascii="Arial" w:eastAsiaTheme="minorEastAsia" w:hAnsi="Arial" w:cs="Arial"/>
          <w:lang w:eastAsia="de-DE"/>
        </w:rPr>
        <w:t xml:space="preserve">Der Wunsch ist, dass der Muslim wie im ersten Moment, so auch im letzten seines Lebens das Wort </w:t>
      </w:r>
      <w:r w:rsidRPr="009E17C5">
        <w:rPr>
          <w:rFonts w:ascii="Arial" w:eastAsiaTheme="minorEastAsia" w:hAnsi="Arial" w:cs="Arial"/>
          <w:i/>
          <w:iCs/>
          <w:lang w:eastAsia="de-DE"/>
        </w:rPr>
        <w:t xml:space="preserve">Gott </w:t>
      </w:r>
      <w:r w:rsidRPr="009E17C5">
        <w:rPr>
          <w:rFonts w:ascii="Arial" w:eastAsiaTheme="minorEastAsia" w:hAnsi="Arial" w:cs="Arial"/>
          <w:lang w:eastAsia="de-DE"/>
        </w:rPr>
        <w:t>auf den Lippen hat.</w:t>
      </w:r>
    </w:p>
    <w:p w:rsidR="009E17C5" w:rsidRDefault="009E17C5" w:rsidP="00601D6C">
      <w:pPr>
        <w:widowControl w:val="0"/>
        <w:kinsoku w:val="0"/>
        <w:overflowPunct w:val="0"/>
        <w:spacing w:before="120" w:after="120" w:line="360" w:lineRule="auto"/>
        <w:jc w:val="both"/>
        <w:textAlignment w:val="baseline"/>
        <w:rPr>
          <w:rFonts w:ascii="Arial" w:eastAsiaTheme="minorEastAsia" w:hAnsi="Arial" w:cs="Arial"/>
          <w:lang w:eastAsia="de-DE"/>
        </w:rPr>
      </w:pPr>
      <w:r w:rsidRPr="009E17C5">
        <w:rPr>
          <w:rFonts w:ascii="Arial" w:eastAsiaTheme="minorEastAsia" w:hAnsi="Arial" w:cs="Arial"/>
          <w:lang w:eastAsia="de-DE"/>
        </w:rPr>
        <w:t>Nachdem ein Men</w:t>
      </w:r>
      <w:r w:rsidR="00EC2FE9">
        <w:rPr>
          <w:rFonts w:ascii="Arial" w:eastAsiaTheme="minorEastAsia" w:hAnsi="Arial" w:cs="Arial"/>
          <w:lang w:eastAsia="de-DE"/>
        </w:rPr>
        <w:t>sch verstorben ist wird er gewa</w:t>
      </w:r>
      <w:r w:rsidRPr="009E17C5">
        <w:rPr>
          <w:rFonts w:ascii="Arial" w:eastAsiaTheme="minorEastAsia" w:hAnsi="Arial" w:cs="Arial"/>
          <w:lang w:eastAsia="de-DE"/>
        </w:rPr>
        <w:t>schen, damit der ohne Makel vor Gott treten kann und ganz oder teilweise mit Öl gesalbt. Er wird in ein Leichentuch gekleidet, die Hände werden in Gebetshaltung übereinander gelegt. An der Bahre wird ein Gebet gesprochen. Auf dem Weg zum Grab wiederholen die Trauernden weiter das Glaubens</w:t>
      </w:r>
      <w:r w:rsidRPr="009E17C5">
        <w:rPr>
          <w:rFonts w:ascii="Arial" w:eastAsiaTheme="minorEastAsia" w:hAnsi="Arial" w:cs="Arial"/>
          <w:lang w:eastAsia="de-DE"/>
        </w:rPr>
        <w:softHyphen/>
        <w:t>bekenntnis. Im Grab wird der Tote auf die rechte Seite gelegt, sein Gesicht wird Mekka zugewandt. Ein Bestatter bittet in einem Gebet darum, dass der Verstorbene mit dem Propheten vereint sein möge und dass Gott ihm seine Sünden nachlassen möge. An das Grab wird eine kleine Säule aufgestellt, die die Richtung nach Mekka weist. Schmuck oder Blumen gibt es nicht an den Gräbern.</w:t>
      </w:r>
    </w:p>
    <w:p w:rsidR="009E17C5" w:rsidRDefault="009E17C5" w:rsidP="00601D6C">
      <w:pPr>
        <w:widowControl w:val="0"/>
        <w:kinsoku w:val="0"/>
        <w:overflowPunct w:val="0"/>
        <w:spacing w:before="120" w:after="120" w:line="360" w:lineRule="auto"/>
        <w:jc w:val="both"/>
        <w:textAlignment w:val="baseline"/>
        <w:rPr>
          <w:rFonts w:ascii="Arial" w:eastAsiaTheme="minorEastAsia" w:hAnsi="Arial" w:cs="Arial"/>
          <w:lang w:eastAsia="de-DE"/>
        </w:rPr>
      </w:pPr>
      <w:r w:rsidRPr="009E17C5">
        <w:rPr>
          <w:rFonts w:ascii="Arial" w:eastAsiaTheme="minorEastAsia" w:hAnsi="Arial" w:cs="Arial"/>
          <w:lang w:eastAsia="de-DE"/>
        </w:rPr>
        <w:t xml:space="preserve">Anders </w:t>
      </w:r>
      <w:proofErr w:type="gramStart"/>
      <w:r w:rsidRPr="009E17C5">
        <w:rPr>
          <w:rFonts w:ascii="Arial" w:eastAsiaTheme="minorEastAsia" w:hAnsi="Arial" w:cs="Arial"/>
          <w:lang w:eastAsia="de-DE"/>
        </w:rPr>
        <w:t>verläuft</w:t>
      </w:r>
      <w:proofErr w:type="gramEnd"/>
      <w:r w:rsidRPr="009E17C5">
        <w:rPr>
          <w:rFonts w:ascii="Arial" w:eastAsiaTheme="minorEastAsia" w:hAnsi="Arial" w:cs="Arial"/>
          <w:lang w:eastAsia="de-DE"/>
        </w:rPr>
        <w:t xml:space="preserve"> die Bestattung und auch die Vorstellung hinsichtlich des Verlaufs nach dem Tod in Bezug auf Märtyrer und Kinder. Kinder gelten als nicht verantwortlich für ihr Handeln, weshalb die Bitte um Sündenvergebung unnötig ist. Märtyrer, die </w:t>
      </w:r>
      <w:r w:rsidRPr="009E17C5">
        <w:rPr>
          <w:rFonts w:ascii="Arial" w:eastAsiaTheme="minorEastAsia" w:hAnsi="Arial" w:cs="Arial"/>
          <w:i/>
          <w:iCs/>
          <w:lang w:eastAsia="de-DE"/>
        </w:rPr>
        <w:t xml:space="preserve">im Dschihad (=heiligen </w:t>
      </w:r>
      <w:r w:rsidRPr="009E17C5">
        <w:rPr>
          <w:rFonts w:ascii="Arial" w:eastAsiaTheme="minorEastAsia" w:hAnsi="Arial" w:cs="Arial"/>
          <w:lang w:eastAsia="de-DE"/>
        </w:rPr>
        <w:t>Krieg) für die Sache des Islam gestorben sind, haben alle ihre Sünden damit beglichen und gehen ohne Wartezeit direkt ins Paradies ein. Sie werden zur Bestattung auch nicht gewa</w:t>
      </w:r>
      <w:r w:rsidRPr="009E17C5">
        <w:rPr>
          <w:rFonts w:ascii="Arial" w:eastAsiaTheme="minorEastAsia" w:hAnsi="Arial" w:cs="Arial"/>
          <w:lang w:eastAsia="de-DE"/>
        </w:rPr>
        <w:softHyphen/>
        <w:t xml:space="preserve">schen, denn sie sind rein. Problematisch wird der Gedanke der </w:t>
      </w:r>
      <w:proofErr w:type="spellStart"/>
      <w:r w:rsidRPr="009E17C5">
        <w:rPr>
          <w:rFonts w:ascii="Arial" w:eastAsiaTheme="minorEastAsia" w:hAnsi="Arial" w:cs="Arial"/>
          <w:lang w:eastAsia="de-DE"/>
        </w:rPr>
        <w:t>Märtyrerschaft</w:t>
      </w:r>
      <w:proofErr w:type="spellEnd"/>
      <w:r w:rsidRPr="009E17C5">
        <w:rPr>
          <w:rFonts w:ascii="Arial" w:eastAsiaTheme="minorEastAsia" w:hAnsi="Arial" w:cs="Arial"/>
          <w:lang w:eastAsia="de-DE"/>
        </w:rPr>
        <w:t xml:space="preserve">, wenn er politisiert wird. </w:t>
      </w:r>
    </w:p>
    <w:p w:rsidR="008D1035" w:rsidRPr="00C21AD6" w:rsidRDefault="008D1035" w:rsidP="00601D6C">
      <w:pPr>
        <w:pStyle w:val="KeinLeerraum"/>
        <w:spacing w:before="120" w:after="120" w:line="360" w:lineRule="auto"/>
        <w:jc w:val="both"/>
        <w:rPr>
          <w:rFonts w:ascii="Arial" w:hAnsi="Arial" w:cs="Arial"/>
          <w:sz w:val="24"/>
          <w:szCs w:val="24"/>
        </w:rPr>
      </w:pPr>
      <w:r w:rsidRPr="00601D6C">
        <w:rPr>
          <w:rFonts w:ascii="Arial" w:eastAsiaTheme="minorEastAsia" w:hAnsi="Arial" w:cs="Arial"/>
          <w:bCs/>
          <w:sz w:val="16"/>
          <w:szCs w:val="16"/>
          <w:lang w:eastAsia="de-DE"/>
        </w:rPr>
        <w:t xml:space="preserve">Quelle: </w:t>
      </w:r>
      <w:r w:rsidR="00601D6C">
        <w:rPr>
          <w:rFonts w:ascii="Arial" w:eastAsiaTheme="minorEastAsia" w:hAnsi="Arial" w:cs="Arial"/>
          <w:bCs/>
          <w:sz w:val="16"/>
          <w:szCs w:val="16"/>
          <w:lang w:eastAsia="de-DE"/>
        </w:rPr>
        <w:tab/>
      </w:r>
      <w:r w:rsidRPr="00601D6C">
        <w:rPr>
          <w:rFonts w:ascii="Arial" w:hAnsi="Arial" w:cs="Arial"/>
          <w:sz w:val="16"/>
          <w:szCs w:val="16"/>
        </w:rPr>
        <w:t xml:space="preserve">Evelyn Schneider (Hrsg.): </w:t>
      </w:r>
      <w:proofErr w:type="spellStart"/>
      <w:r w:rsidRPr="00601D6C">
        <w:rPr>
          <w:rFonts w:ascii="Arial" w:hAnsi="Arial" w:cs="Arial"/>
          <w:sz w:val="16"/>
          <w:szCs w:val="16"/>
        </w:rPr>
        <w:t>Hinter’m</w:t>
      </w:r>
      <w:proofErr w:type="spellEnd"/>
      <w:r w:rsidRPr="00601D6C">
        <w:rPr>
          <w:rFonts w:ascii="Arial" w:hAnsi="Arial" w:cs="Arial"/>
          <w:sz w:val="16"/>
          <w:szCs w:val="16"/>
        </w:rPr>
        <w:t xml:space="preserve"> Horizont geht’s weiter</w:t>
      </w:r>
      <w:proofErr w:type="gramStart"/>
      <w:r w:rsidRPr="00601D6C">
        <w:rPr>
          <w:rFonts w:ascii="Arial" w:hAnsi="Arial" w:cs="Arial"/>
          <w:sz w:val="16"/>
          <w:szCs w:val="16"/>
        </w:rPr>
        <w:t>?!,</w:t>
      </w:r>
      <w:proofErr w:type="gramEnd"/>
      <w:r w:rsidR="00601D6C" w:rsidRPr="00601D6C">
        <w:rPr>
          <w:rFonts w:ascii="Arial" w:hAnsi="Arial" w:cs="Arial"/>
          <w:sz w:val="16"/>
          <w:szCs w:val="16"/>
        </w:rPr>
        <w:t xml:space="preserve"> </w:t>
      </w:r>
      <w:r w:rsidRPr="00601D6C">
        <w:rPr>
          <w:rFonts w:ascii="Arial" w:hAnsi="Arial" w:cs="Arial"/>
          <w:sz w:val="16"/>
          <w:szCs w:val="16"/>
        </w:rPr>
        <w:t xml:space="preserve">Eine Arbeitshilfe zum Thema Sterben, Tod und Jenseits, </w:t>
      </w:r>
      <w:r w:rsidR="00601D6C">
        <w:rPr>
          <w:rFonts w:ascii="Arial" w:hAnsi="Arial" w:cs="Arial"/>
          <w:sz w:val="16"/>
          <w:szCs w:val="16"/>
        </w:rPr>
        <w:tab/>
      </w:r>
      <w:r w:rsidRPr="00601D6C">
        <w:rPr>
          <w:rFonts w:ascii="Arial" w:hAnsi="Arial" w:cs="Arial"/>
          <w:sz w:val="16"/>
          <w:szCs w:val="16"/>
        </w:rPr>
        <w:t xml:space="preserve">RPI </w:t>
      </w:r>
      <w:proofErr w:type="spellStart"/>
      <w:r w:rsidRPr="00601D6C">
        <w:rPr>
          <w:rFonts w:ascii="Arial" w:hAnsi="Arial" w:cs="Arial"/>
          <w:sz w:val="16"/>
          <w:szCs w:val="16"/>
        </w:rPr>
        <w:t>Loccum</w:t>
      </w:r>
      <w:proofErr w:type="spellEnd"/>
      <w:r w:rsidRPr="00601D6C">
        <w:rPr>
          <w:rFonts w:ascii="Arial" w:hAnsi="Arial" w:cs="Arial"/>
          <w:sz w:val="16"/>
          <w:szCs w:val="16"/>
        </w:rPr>
        <w:t>, 2009, S. 104</w:t>
      </w:r>
      <w:r w:rsidR="00A06253" w:rsidRPr="00601D6C">
        <w:rPr>
          <w:rFonts w:ascii="Arial" w:hAnsi="Arial" w:cs="Arial"/>
          <w:sz w:val="16"/>
          <w:szCs w:val="16"/>
        </w:rPr>
        <w:t>.</w:t>
      </w:r>
    </w:p>
    <w:p w:rsidR="008D1035" w:rsidRPr="009E17C5" w:rsidRDefault="008D1035" w:rsidP="00601D6C">
      <w:pPr>
        <w:widowControl w:val="0"/>
        <w:kinsoku w:val="0"/>
        <w:overflowPunct w:val="0"/>
        <w:spacing w:before="120" w:after="120" w:line="360" w:lineRule="auto"/>
        <w:jc w:val="both"/>
        <w:textAlignment w:val="baseline"/>
        <w:rPr>
          <w:rFonts w:ascii="Arial" w:eastAsiaTheme="minorEastAsia" w:hAnsi="Arial" w:cs="Arial"/>
          <w:lang w:eastAsia="de-DE"/>
        </w:rPr>
      </w:pPr>
    </w:p>
    <w:sectPr w:rsidR="008D1035" w:rsidRPr="009E17C5" w:rsidSect="00AB7390">
      <w:headerReference w:type="even" r:id="rId7"/>
      <w:headerReference w:type="default" r:id="rId8"/>
      <w:footerReference w:type="even" r:id="rId9"/>
      <w:footerReference w:type="default" r:id="rId10"/>
      <w:headerReference w:type="first" r:id="rId11"/>
      <w:footerReference w:type="first" r:id="rId12"/>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8DF" w:rsidRDefault="004568DF" w:rsidP="00601D6C">
      <w:pPr>
        <w:spacing w:after="0" w:line="240" w:lineRule="auto"/>
      </w:pPr>
      <w:r>
        <w:separator/>
      </w:r>
    </w:p>
  </w:endnote>
  <w:endnote w:type="continuationSeparator" w:id="0">
    <w:p w:rsidR="004568DF" w:rsidRDefault="004568DF" w:rsidP="00601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756" w:rsidRDefault="00D6475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756" w:rsidRDefault="00D64756">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756" w:rsidRDefault="00D6475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8DF" w:rsidRDefault="004568DF" w:rsidP="00601D6C">
      <w:pPr>
        <w:spacing w:after="0" w:line="240" w:lineRule="auto"/>
      </w:pPr>
      <w:r>
        <w:separator/>
      </w:r>
    </w:p>
  </w:footnote>
  <w:footnote w:type="continuationSeparator" w:id="0">
    <w:p w:rsidR="004568DF" w:rsidRDefault="004568DF" w:rsidP="00601D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756" w:rsidRDefault="00D6475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page" w:horzAnchor="margin" w:tblpY="541"/>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7"/>
      <w:gridCol w:w="1910"/>
      <w:gridCol w:w="3118"/>
      <w:gridCol w:w="3403"/>
    </w:tblGrid>
    <w:tr w:rsidR="00601D6C" w:rsidRPr="001B1C78" w:rsidTr="005868DA">
      <w:trPr>
        <w:trHeight w:val="296"/>
      </w:trPr>
      <w:tc>
        <w:tcPr>
          <w:tcW w:w="1317" w:type="dxa"/>
          <w:shd w:val="clear" w:color="auto" w:fill="auto"/>
        </w:tcPr>
        <w:p w:rsidR="00601D6C" w:rsidRPr="00A633C0" w:rsidRDefault="00601D6C" w:rsidP="005868DA">
          <w:pPr>
            <w:pStyle w:val="Kopfzeile"/>
            <w:rPr>
              <w:rFonts w:ascii="Arial" w:hAnsi="Arial" w:cs="Arial"/>
              <w:sz w:val="20"/>
              <w:szCs w:val="20"/>
            </w:rPr>
          </w:pPr>
        </w:p>
        <w:p w:rsidR="00601D6C" w:rsidRPr="00A633C0" w:rsidRDefault="00601D6C" w:rsidP="005868DA">
          <w:pPr>
            <w:pStyle w:val="Kopfzeile"/>
            <w:rPr>
              <w:rFonts w:ascii="Arial" w:hAnsi="Arial" w:cs="Arial"/>
              <w:sz w:val="20"/>
              <w:szCs w:val="20"/>
            </w:rPr>
          </w:pPr>
          <w:r w:rsidRPr="00A633C0">
            <w:rPr>
              <w:rFonts w:ascii="Arial" w:hAnsi="Arial" w:cs="Arial"/>
              <w:sz w:val="20"/>
              <w:szCs w:val="20"/>
            </w:rPr>
            <w:t>BFS</w:t>
          </w:r>
        </w:p>
        <w:p w:rsidR="00601D6C" w:rsidRPr="00A633C0" w:rsidRDefault="00601D6C" w:rsidP="005868DA">
          <w:pPr>
            <w:pStyle w:val="Kopfzeile"/>
            <w:rPr>
              <w:rFonts w:ascii="Arial" w:hAnsi="Arial" w:cs="Arial"/>
              <w:sz w:val="20"/>
              <w:szCs w:val="20"/>
            </w:rPr>
          </w:pPr>
          <w:r w:rsidRPr="00A633C0">
            <w:rPr>
              <w:rFonts w:ascii="Arial" w:hAnsi="Arial" w:cs="Arial"/>
              <w:sz w:val="20"/>
              <w:szCs w:val="20"/>
            </w:rPr>
            <w:t>BS</w:t>
          </w:r>
        </w:p>
      </w:tc>
      <w:tc>
        <w:tcPr>
          <w:tcW w:w="1910" w:type="dxa"/>
          <w:shd w:val="clear" w:color="auto" w:fill="auto"/>
        </w:tcPr>
        <w:p w:rsidR="00601D6C" w:rsidRPr="00A633C0" w:rsidRDefault="00601D6C" w:rsidP="005868DA">
          <w:pPr>
            <w:pStyle w:val="Kopfzeile"/>
            <w:rPr>
              <w:rFonts w:ascii="Arial" w:hAnsi="Arial" w:cs="Arial"/>
              <w:sz w:val="20"/>
              <w:szCs w:val="20"/>
            </w:rPr>
          </w:pPr>
        </w:p>
        <w:p w:rsidR="00601D6C" w:rsidRPr="00A633C0" w:rsidRDefault="00601D6C" w:rsidP="005868DA">
          <w:pPr>
            <w:pStyle w:val="Kopfzeile"/>
            <w:rPr>
              <w:rFonts w:ascii="Arial" w:hAnsi="Arial" w:cs="Arial"/>
              <w:sz w:val="20"/>
              <w:szCs w:val="20"/>
            </w:rPr>
          </w:pPr>
          <w:r w:rsidRPr="00A633C0">
            <w:rPr>
              <w:rFonts w:ascii="Arial" w:hAnsi="Arial" w:cs="Arial"/>
              <w:sz w:val="20"/>
              <w:szCs w:val="20"/>
            </w:rPr>
            <w:t>Evangelische /</w:t>
          </w:r>
        </w:p>
        <w:p w:rsidR="00601D6C" w:rsidRPr="00A633C0" w:rsidRDefault="00601D6C" w:rsidP="005868DA">
          <w:pPr>
            <w:pStyle w:val="Kopfzeile"/>
            <w:rPr>
              <w:rFonts w:ascii="Arial" w:hAnsi="Arial" w:cs="Arial"/>
              <w:sz w:val="20"/>
              <w:szCs w:val="20"/>
            </w:rPr>
          </w:pPr>
          <w:r w:rsidRPr="00A633C0">
            <w:rPr>
              <w:rFonts w:ascii="Arial" w:hAnsi="Arial" w:cs="Arial"/>
              <w:sz w:val="20"/>
              <w:szCs w:val="20"/>
            </w:rPr>
            <w:t>Katholische</w:t>
          </w:r>
        </w:p>
        <w:p w:rsidR="00601D6C" w:rsidRPr="00A633C0" w:rsidRDefault="00601D6C" w:rsidP="005868DA">
          <w:pPr>
            <w:pStyle w:val="Kopfzeile"/>
            <w:rPr>
              <w:rFonts w:ascii="Arial" w:hAnsi="Arial" w:cs="Arial"/>
              <w:sz w:val="20"/>
              <w:szCs w:val="20"/>
            </w:rPr>
          </w:pPr>
          <w:r w:rsidRPr="00A633C0">
            <w:rPr>
              <w:rFonts w:ascii="Arial" w:hAnsi="Arial" w:cs="Arial"/>
              <w:sz w:val="20"/>
              <w:szCs w:val="20"/>
            </w:rPr>
            <w:t>Religion</w:t>
          </w:r>
        </w:p>
      </w:tc>
      <w:tc>
        <w:tcPr>
          <w:tcW w:w="3118" w:type="dxa"/>
          <w:shd w:val="clear" w:color="auto" w:fill="auto"/>
        </w:tcPr>
        <w:p w:rsidR="00601D6C" w:rsidRPr="00A633C0" w:rsidRDefault="00601D6C" w:rsidP="005868DA">
          <w:pPr>
            <w:pStyle w:val="Kopfzeile"/>
            <w:rPr>
              <w:rFonts w:ascii="Arial" w:hAnsi="Arial" w:cs="Arial"/>
              <w:sz w:val="20"/>
              <w:szCs w:val="20"/>
            </w:rPr>
          </w:pPr>
          <w:r w:rsidRPr="00A633C0">
            <w:rPr>
              <w:rFonts w:ascii="Arial" w:hAnsi="Arial" w:cs="Arial"/>
              <w:sz w:val="20"/>
              <w:szCs w:val="20"/>
            </w:rPr>
            <w:t>Lernsituation:</w:t>
          </w:r>
        </w:p>
        <w:p w:rsidR="00601D6C" w:rsidRPr="00A633C0" w:rsidRDefault="00601D6C" w:rsidP="005868DA">
          <w:pPr>
            <w:pStyle w:val="Kopfzeile"/>
            <w:rPr>
              <w:rFonts w:ascii="Arial" w:hAnsi="Arial" w:cs="Arial"/>
              <w:sz w:val="20"/>
              <w:szCs w:val="20"/>
            </w:rPr>
          </w:pPr>
          <w:r w:rsidRPr="00A633C0">
            <w:rPr>
              <w:rFonts w:ascii="Arial" w:hAnsi="Arial" w:cs="Arial"/>
              <w:sz w:val="20"/>
              <w:szCs w:val="20"/>
            </w:rPr>
            <w:t>Sterben, Leid und Hoffnung:</w:t>
          </w:r>
        </w:p>
        <w:p w:rsidR="00601D6C" w:rsidRPr="00A633C0" w:rsidRDefault="00601D6C" w:rsidP="005868DA">
          <w:pPr>
            <w:pStyle w:val="Kopfzeile"/>
            <w:rPr>
              <w:rFonts w:ascii="Arial" w:hAnsi="Arial" w:cs="Arial"/>
              <w:sz w:val="20"/>
              <w:szCs w:val="20"/>
            </w:rPr>
          </w:pPr>
          <w:r w:rsidRPr="00A633C0">
            <w:rPr>
              <w:rFonts w:ascii="Arial" w:hAnsi="Arial" w:cs="Arial"/>
              <w:sz w:val="20"/>
              <w:szCs w:val="20"/>
            </w:rPr>
            <w:t xml:space="preserve"> </w:t>
          </w:r>
        </w:p>
        <w:p w:rsidR="00601D6C" w:rsidRPr="00A633C0" w:rsidRDefault="00601D6C" w:rsidP="005868DA">
          <w:pPr>
            <w:pStyle w:val="Kopfzeile"/>
            <w:rPr>
              <w:rFonts w:ascii="Arial" w:hAnsi="Arial" w:cs="Arial"/>
              <w:b/>
              <w:sz w:val="20"/>
              <w:szCs w:val="20"/>
            </w:rPr>
          </w:pPr>
          <w:r w:rsidRPr="00A633C0">
            <w:rPr>
              <w:rFonts w:ascii="Arial" w:hAnsi="Arial" w:cs="Arial"/>
              <w:b/>
              <w:sz w:val="20"/>
              <w:szCs w:val="20"/>
            </w:rPr>
            <w:t>Bestattungsarten</w:t>
          </w:r>
          <w:r w:rsidR="00D64756">
            <w:rPr>
              <w:rFonts w:ascii="Arial" w:hAnsi="Arial" w:cs="Arial"/>
              <w:b/>
              <w:sz w:val="20"/>
              <w:szCs w:val="20"/>
            </w:rPr>
            <w:t xml:space="preserve"> </w:t>
          </w:r>
          <w:r w:rsidR="00D64756">
            <w:rPr>
              <w:rFonts w:ascii="Arial" w:hAnsi="Arial" w:cs="Arial"/>
              <w:sz w:val="20"/>
              <w:szCs w:val="20"/>
            </w:rPr>
            <w:t xml:space="preserve">(Ablauf </w:t>
          </w:r>
          <w:r w:rsidR="00D64756">
            <w:rPr>
              <w:rFonts w:ascii="Arial" w:hAnsi="Arial" w:cs="Arial"/>
              <w:sz w:val="20"/>
              <w:szCs w:val="20"/>
            </w:rPr>
            <w:t>2)</w:t>
          </w:r>
          <w:bookmarkStart w:id="0" w:name="_GoBack"/>
          <w:bookmarkEnd w:id="0"/>
        </w:p>
        <w:p w:rsidR="00601D6C" w:rsidRPr="00A633C0" w:rsidRDefault="00601D6C" w:rsidP="005868DA">
          <w:pPr>
            <w:pStyle w:val="Kopfzeile"/>
            <w:rPr>
              <w:rFonts w:ascii="Arial" w:hAnsi="Arial" w:cs="Arial"/>
              <w:b/>
              <w:sz w:val="20"/>
              <w:szCs w:val="20"/>
            </w:rPr>
          </w:pPr>
        </w:p>
      </w:tc>
      <w:tc>
        <w:tcPr>
          <w:tcW w:w="3403" w:type="dxa"/>
          <w:vMerge w:val="restart"/>
          <w:shd w:val="clear" w:color="auto" w:fill="auto"/>
        </w:tcPr>
        <w:p w:rsidR="00601D6C" w:rsidRPr="001B1C78" w:rsidRDefault="00601D6C" w:rsidP="005868DA">
          <w:pPr>
            <w:rPr>
              <w:rFonts w:ascii="Arial" w:hAnsi="Arial" w:cs="Arial"/>
            </w:rPr>
          </w:pP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-60960</wp:posOffset>
                    </wp:positionH>
                    <wp:positionV relativeFrom="paragraph">
                      <wp:posOffset>36830</wp:posOffset>
                    </wp:positionV>
                    <wp:extent cx="2125345" cy="1114425"/>
                    <wp:effectExtent l="0" t="0" r="825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1D6C" w:rsidRDefault="00601D6C" w:rsidP="00601D6C">
                                <w:pPr>
                                  <w:pStyle w:val="KeinLeerraum"/>
                                  <w:jc w:val="center"/>
                                  <w:rPr>
                                    <w:rFonts w:ascii="Arial" w:hAnsi="Arial" w:cs="Arial"/>
                                    <w:sz w:val="12"/>
                                    <w:szCs w:val="12"/>
                                  </w:rPr>
                                </w:pPr>
                                <w:r>
                                  <w:rPr>
                                    <w:noProof/>
                                    <w:lang w:eastAsia="de-DE"/>
                                  </w:rPr>
                                  <w:drawing>
                                    <wp:inline distT="0" distB="0" distL="0" distR="0" wp14:anchorId="26CE661E" wp14:editId="573059B3">
                                      <wp:extent cx="1268569" cy="807271"/>
                                      <wp:effectExtent l="0" t="0" r="0" b="0"/>
                                      <wp:docPr id="5" name="Grafik 5" descr="http://upload.wikimedia.org/wikipedia/commons/6/62/Friedhof_Wei%C3%9Fig.JPG?uselan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2/Friedhof_Wei%C3%9Fig.JPG?uselang=de"/>
                                              <pic:cNvPicPr>
                                                <a:picLocks noChangeAspect="1" noChangeArrowheads="1"/>
                                              </pic:cNvPicPr>
                                            </pic:nvPicPr>
                                            <pic:blipFill>
                                              <a:blip r:embed="rId1">
                                                <a:extLst>
                                                  <a:ext uri="{BEBA8EAE-BF5A-486C-A8C5-ECC9F3942E4B}">
                                                    <a14:imgProps xmlns:a14="http://schemas.microsoft.com/office/drawing/2010/main">
                                                      <a14:imgLayer r:embed="rId2">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97229" cy="825509"/>
                                              </a:xfrm>
                                              <a:prstGeom prst="rect">
                                                <a:avLst/>
                                              </a:prstGeom>
                                              <a:ln>
                                                <a:noFill/>
                                              </a:ln>
                                              <a:effectLst>
                                                <a:softEdge rad="112500"/>
                                              </a:effectLst>
                                            </pic:spPr>
                                          </pic:pic>
                                        </a:graphicData>
                                      </a:graphic>
                                    </wp:inline>
                                  </w:drawing>
                                </w:r>
                                <w:r w:rsidRPr="001B1C78">
                                  <w:rPr>
                                    <w:rFonts w:ascii="Arial" w:hAnsi="Arial" w:cs="Arial"/>
                                    <w:sz w:val="12"/>
                                    <w:szCs w:val="12"/>
                                  </w:rPr>
                                  <w:t>http://upload.wikimedia.org/wikipedia/commons/6/62/</w:t>
                                </w:r>
                              </w:p>
                              <w:p w:rsidR="00601D6C" w:rsidRPr="001B1C78" w:rsidRDefault="00601D6C" w:rsidP="00601D6C">
                                <w:pPr>
                                  <w:pStyle w:val="KeinLeerraum"/>
                                  <w:jc w:val="center"/>
                                  <w:rPr>
                                    <w:rFonts w:ascii="Arial" w:hAnsi="Arial" w:cs="Arial"/>
                                    <w:sz w:val="12"/>
                                    <w:szCs w:val="12"/>
                                  </w:rPr>
                                </w:pPr>
                                <w:r w:rsidRPr="001B1C78">
                                  <w:rPr>
                                    <w:rFonts w:ascii="Arial" w:hAnsi="Arial" w:cs="Arial"/>
                                    <w:sz w:val="12"/>
                                    <w:szCs w:val="12"/>
                                  </w:rPr>
                                  <w:t>Friedhof_Wei%C3%9Fig.JPG?uselang=de</w:t>
                                </w:r>
                              </w:p>
                              <w:p w:rsidR="00601D6C" w:rsidRDefault="00601D6C" w:rsidP="00601D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8pt;margin-top:2.9pt;width:167.3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" stroked="f">
                    <v:textbox>
                      <w:txbxContent>
                        <w:p w:rsidR="00601D6C" w:rsidRDefault="00601D6C" w:rsidP="00601D6C">
                          <w:pPr>
                            <w:pStyle w:val="KeinLeerraum"/>
                            <w:jc w:val="center"/>
                            <w:rPr>
                              <w:rFonts w:ascii="Arial" w:hAnsi="Arial" w:cs="Arial"/>
                              <w:sz w:val="12"/>
                              <w:szCs w:val="12"/>
                            </w:rPr>
                          </w:pPr>
                          <w:r>
                            <w:rPr>
                              <w:noProof/>
                              <w:lang w:eastAsia="de-DE"/>
                            </w:rPr>
                            <w:drawing>
                              <wp:inline distT="0" distB="0" distL="0" distR="0" wp14:anchorId="26CE661E" wp14:editId="573059B3">
                                <wp:extent cx="1268569" cy="807271"/>
                                <wp:effectExtent l="0" t="0" r="0" b="0"/>
                                <wp:docPr id="5" name="Grafik 5" descr="http://upload.wikimedia.org/wikipedia/commons/6/62/Friedhof_Wei%C3%9Fig.JPG?uselan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2/Friedhof_Wei%C3%9Fig.JPG?uselang=de"/>
                                        <pic:cNvPicPr>
                                          <a:picLocks noChangeAspect="1" noChangeArrowheads="1"/>
                                        </pic:cNvPicPr>
                                      </pic:nvPicPr>
                                      <pic:blipFill>
                                        <a:blip r:embed="rId3">
                                          <a:extLst>
                                            <a:ext uri="{BEBA8EAE-BF5A-486C-A8C5-ECC9F3942E4B}">
                                              <a14:imgProps xmlns:a14="http://schemas.microsoft.com/office/drawing/2010/main">
                                                <a14:imgLayer r:embed="rId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97229" cy="825509"/>
                                        </a:xfrm>
                                        <a:prstGeom prst="rect">
                                          <a:avLst/>
                                        </a:prstGeom>
                                        <a:ln>
                                          <a:noFill/>
                                        </a:ln>
                                        <a:effectLst>
                                          <a:softEdge rad="112500"/>
                                        </a:effectLst>
                                      </pic:spPr>
                                    </pic:pic>
                                  </a:graphicData>
                                </a:graphic>
                              </wp:inline>
                            </w:drawing>
                          </w:r>
                          <w:r w:rsidRPr="001B1C78">
                            <w:rPr>
                              <w:rFonts w:ascii="Arial" w:hAnsi="Arial" w:cs="Arial"/>
                              <w:sz w:val="12"/>
                              <w:szCs w:val="12"/>
                            </w:rPr>
                            <w:t>http://upload.wikimedia.org/wikipedia/commons/6/62/</w:t>
                          </w:r>
                        </w:p>
                        <w:p w:rsidR="00601D6C" w:rsidRPr="001B1C78" w:rsidRDefault="00601D6C" w:rsidP="00601D6C">
                          <w:pPr>
                            <w:pStyle w:val="KeinLeerraum"/>
                            <w:jc w:val="center"/>
                            <w:rPr>
                              <w:rFonts w:ascii="Arial" w:hAnsi="Arial" w:cs="Arial"/>
                              <w:sz w:val="12"/>
                              <w:szCs w:val="12"/>
                            </w:rPr>
                          </w:pPr>
                          <w:r w:rsidRPr="001B1C78">
                            <w:rPr>
                              <w:rFonts w:ascii="Arial" w:hAnsi="Arial" w:cs="Arial"/>
                              <w:sz w:val="12"/>
                              <w:szCs w:val="12"/>
                            </w:rPr>
                            <w:t>Friedhof_Wei%C3%9Fig.JPG?uselang=de</w:t>
                          </w:r>
                        </w:p>
                        <w:p w:rsidR="00601D6C" w:rsidRDefault="00601D6C" w:rsidP="00601D6C"/>
                      </w:txbxContent>
                    </v:textbox>
                  </v:shape>
                </w:pict>
              </mc:Fallback>
            </mc:AlternateContent>
          </w:r>
        </w:p>
      </w:tc>
    </w:tr>
    <w:tr w:rsidR="00601D6C" w:rsidRPr="00BF076F" w:rsidTr="005868DA">
      <w:trPr>
        <w:trHeight w:val="295"/>
      </w:trPr>
      <w:tc>
        <w:tcPr>
          <w:tcW w:w="3227" w:type="dxa"/>
          <w:gridSpan w:val="2"/>
          <w:shd w:val="clear" w:color="auto" w:fill="auto"/>
        </w:tcPr>
        <w:p w:rsidR="00601D6C" w:rsidRPr="00A633C0" w:rsidRDefault="00601D6C" w:rsidP="005868DA">
          <w:pPr>
            <w:pStyle w:val="Kopfzeile"/>
            <w:rPr>
              <w:rFonts w:ascii="Arial" w:hAnsi="Arial" w:cs="Arial"/>
              <w:b/>
              <w:sz w:val="20"/>
              <w:szCs w:val="20"/>
            </w:rPr>
          </w:pPr>
        </w:p>
        <w:p w:rsidR="00601D6C" w:rsidRPr="00A633C0" w:rsidRDefault="00601D6C" w:rsidP="005868DA">
          <w:pPr>
            <w:pStyle w:val="Kopfzeile"/>
            <w:rPr>
              <w:rFonts w:ascii="Arial" w:hAnsi="Arial" w:cs="Arial"/>
              <w:b/>
              <w:sz w:val="20"/>
              <w:szCs w:val="20"/>
            </w:rPr>
          </w:pPr>
          <w:r w:rsidRPr="006B798B">
            <w:rPr>
              <w:rFonts w:ascii="Arial" w:hAnsi="Arial" w:cs="Arial"/>
              <w:sz w:val="20"/>
              <w:szCs w:val="20"/>
            </w:rPr>
            <w:t>Niveaustufe 3</w:t>
          </w:r>
        </w:p>
        <w:p w:rsidR="00601D6C" w:rsidRPr="00A633C0" w:rsidRDefault="00601D6C" w:rsidP="005868DA">
          <w:pPr>
            <w:pStyle w:val="Kopfzeile"/>
            <w:rPr>
              <w:rFonts w:ascii="Arial" w:hAnsi="Arial" w:cs="Arial"/>
              <w:b/>
              <w:iCs/>
              <w:sz w:val="20"/>
              <w:szCs w:val="20"/>
            </w:rPr>
          </w:pPr>
        </w:p>
      </w:tc>
      <w:tc>
        <w:tcPr>
          <w:tcW w:w="3118" w:type="dxa"/>
          <w:shd w:val="clear" w:color="auto" w:fill="auto"/>
        </w:tcPr>
        <w:p w:rsidR="00601D6C" w:rsidRPr="00A633C0" w:rsidRDefault="00601D6C" w:rsidP="005868DA">
          <w:pPr>
            <w:pStyle w:val="Kopfzeile"/>
            <w:rPr>
              <w:rFonts w:ascii="Arial" w:hAnsi="Arial" w:cs="Arial"/>
              <w:b/>
              <w:sz w:val="20"/>
              <w:szCs w:val="20"/>
            </w:rPr>
          </w:pPr>
        </w:p>
        <w:p w:rsidR="00601D6C" w:rsidRDefault="00601D6C" w:rsidP="005868DA">
          <w:pPr>
            <w:pStyle w:val="Kopfzeile"/>
            <w:rPr>
              <w:rFonts w:ascii="Arial" w:hAnsi="Arial" w:cs="Arial"/>
              <w:sz w:val="20"/>
              <w:szCs w:val="20"/>
            </w:rPr>
          </w:pPr>
          <w:r>
            <w:rPr>
              <w:rFonts w:ascii="Arial" w:hAnsi="Arial" w:cs="Arial"/>
              <w:sz w:val="20"/>
              <w:szCs w:val="20"/>
            </w:rPr>
            <w:t>M03b3</w:t>
          </w:r>
          <w:r w:rsidRPr="006B798B">
            <w:rPr>
              <w:rFonts w:ascii="Arial" w:hAnsi="Arial" w:cs="Arial"/>
              <w:sz w:val="20"/>
              <w:szCs w:val="20"/>
            </w:rPr>
            <w:t>_</w:t>
          </w:r>
          <w:r>
            <w:rPr>
              <w:rFonts w:ascii="Arial" w:hAnsi="Arial" w:cs="Arial"/>
              <w:sz w:val="20"/>
              <w:szCs w:val="20"/>
            </w:rPr>
            <w:t>Information_Station3_</w:t>
          </w:r>
        </w:p>
        <w:p w:rsidR="00601D6C" w:rsidRPr="006B798B" w:rsidRDefault="00601D6C" w:rsidP="005868DA">
          <w:pPr>
            <w:pStyle w:val="Kopfzeile"/>
            <w:rPr>
              <w:rFonts w:ascii="Arial" w:hAnsi="Arial" w:cs="Arial"/>
              <w:sz w:val="20"/>
              <w:szCs w:val="20"/>
            </w:rPr>
          </w:pPr>
          <w:r>
            <w:rPr>
              <w:rFonts w:ascii="Arial" w:hAnsi="Arial" w:cs="Arial"/>
              <w:sz w:val="20"/>
              <w:szCs w:val="20"/>
            </w:rPr>
            <w:t>Islam</w:t>
          </w:r>
        </w:p>
      </w:tc>
      <w:tc>
        <w:tcPr>
          <w:tcW w:w="3403" w:type="dxa"/>
          <w:vMerge/>
          <w:shd w:val="clear" w:color="auto" w:fill="auto"/>
        </w:tcPr>
        <w:p w:rsidR="00601D6C" w:rsidRPr="00BF076F" w:rsidRDefault="00601D6C" w:rsidP="005868DA">
          <w:pPr>
            <w:pStyle w:val="Kopfzeile"/>
            <w:rPr>
              <w:rFonts w:ascii="Arial" w:hAnsi="Arial" w:cs="Arial"/>
            </w:rPr>
          </w:pPr>
        </w:p>
      </w:tc>
    </w:tr>
  </w:tbl>
  <w:p w:rsidR="00601D6C" w:rsidRPr="00440814" w:rsidRDefault="00601D6C" w:rsidP="00601D6C"/>
  <w:p w:rsidR="00601D6C" w:rsidRDefault="00601D6C">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756" w:rsidRDefault="00D6475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390"/>
    <w:rsid w:val="00126F49"/>
    <w:rsid w:val="002B6B11"/>
    <w:rsid w:val="00390236"/>
    <w:rsid w:val="004568DF"/>
    <w:rsid w:val="004E1457"/>
    <w:rsid w:val="00534869"/>
    <w:rsid w:val="00601D6C"/>
    <w:rsid w:val="008D1035"/>
    <w:rsid w:val="009E17C5"/>
    <w:rsid w:val="00A06253"/>
    <w:rsid w:val="00AB7390"/>
    <w:rsid w:val="00BA2D9A"/>
    <w:rsid w:val="00C34C9D"/>
    <w:rsid w:val="00D26262"/>
    <w:rsid w:val="00D64756"/>
    <w:rsid w:val="00E86B82"/>
    <w:rsid w:val="00EC2FE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B739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7390"/>
    <w:rPr>
      <w:rFonts w:ascii="Tahoma" w:hAnsi="Tahoma" w:cs="Tahoma"/>
      <w:sz w:val="16"/>
      <w:szCs w:val="16"/>
    </w:rPr>
  </w:style>
  <w:style w:type="paragraph" w:styleId="KeinLeerraum">
    <w:name w:val="No Spacing"/>
    <w:uiPriority w:val="1"/>
    <w:qFormat/>
    <w:rsid w:val="008D1035"/>
    <w:pPr>
      <w:spacing w:after="0" w:line="240" w:lineRule="auto"/>
    </w:pPr>
  </w:style>
  <w:style w:type="paragraph" w:styleId="Kopfzeile">
    <w:name w:val="header"/>
    <w:basedOn w:val="Standard"/>
    <w:link w:val="KopfzeileZchn"/>
    <w:rsid w:val="00E86B82"/>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rsid w:val="00E86B8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601D6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01D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B739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7390"/>
    <w:rPr>
      <w:rFonts w:ascii="Tahoma" w:hAnsi="Tahoma" w:cs="Tahoma"/>
      <w:sz w:val="16"/>
      <w:szCs w:val="16"/>
    </w:rPr>
  </w:style>
  <w:style w:type="paragraph" w:styleId="KeinLeerraum">
    <w:name w:val="No Spacing"/>
    <w:uiPriority w:val="1"/>
    <w:qFormat/>
    <w:rsid w:val="008D1035"/>
    <w:pPr>
      <w:spacing w:after="0" w:line="240" w:lineRule="auto"/>
    </w:pPr>
  </w:style>
  <w:style w:type="paragraph" w:styleId="Kopfzeile">
    <w:name w:val="header"/>
    <w:basedOn w:val="Standard"/>
    <w:link w:val="KopfzeileZchn"/>
    <w:rsid w:val="00E86B82"/>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rsid w:val="00E86B8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601D6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01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07/relationships/hdphoto" Target="media/hdphoto1.wdp"/><Relationship Id="rId1" Type="http://schemas.openxmlformats.org/officeDocument/2006/relationships/image" Target="media/image1.jpeg"/><Relationship Id="rId4" Type="http://schemas.microsoft.com/office/2007/relationships/hdphoto" Target="media/hdphoto10.wdp"/></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574</Words>
  <Characters>3621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RS</cp:lastModifiedBy>
  <cp:revision>3</cp:revision>
  <dcterms:created xsi:type="dcterms:W3CDTF">2014-06-08T20:26:00Z</dcterms:created>
  <dcterms:modified xsi:type="dcterms:W3CDTF">2014-06-09T11:54:00Z</dcterms:modified>
</cp:coreProperties>
</file>