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B9" w:rsidRDefault="006626F4" w:rsidP="004C0FB9">
      <w:pPr>
        <w:spacing w:line="240" w:lineRule="auto"/>
        <w:jc w:val="center"/>
        <w:rPr>
          <w:rFonts w:ascii="Arial" w:hAnsi="Arial" w:cs="Arial"/>
          <w:b/>
          <w:u w:val="single"/>
        </w:rPr>
      </w:pPr>
      <w:r>
        <w:rPr>
          <w:rFonts w:ascii="Arial" w:hAnsi="Arial" w:cs="Arial"/>
          <w:b/>
          <w:noProof/>
          <w:u w:val="single"/>
          <w:lang w:eastAsia="de-DE"/>
        </w:rPr>
        <mc:AlternateContent>
          <mc:Choice Requires="wps">
            <w:drawing>
              <wp:anchor distT="0" distB="0" distL="114300" distR="114300" simplePos="0" relativeHeight="251661312" behindDoc="0" locked="0" layoutInCell="1" allowOverlap="1">
                <wp:simplePos x="0" y="0"/>
                <wp:positionH relativeFrom="column">
                  <wp:posOffset>5105400</wp:posOffset>
                </wp:positionH>
                <wp:positionV relativeFrom="paragraph">
                  <wp:posOffset>-78740</wp:posOffset>
                </wp:positionV>
                <wp:extent cx="609600" cy="352425"/>
                <wp:effectExtent l="0" t="0" r="19050"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52425"/>
                        </a:xfrm>
                        <a:prstGeom prst="rect">
                          <a:avLst/>
                        </a:prstGeom>
                        <a:solidFill>
                          <a:srgbClr val="FFFFFF"/>
                        </a:solidFill>
                        <a:ln w="9525">
                          <a:solidFill>
                            <a:srgbClr val="000000"/>
                          </a:solidFill>
                          <a:miter lim="800000"/>
                          <a:headEnd/>
                          <a:tailEnd/>
                        </a:ln>
                      </wps:spPr>
                      <wps:txbx>
                        <w:txbxContent>
                          <w:p w:rsidR="006626F4" w:rsidRPr="00443F9E" w:rsidRDefault="006626F4" w:rsidP="0049666F">
                            <w:pPr>
                              <w:rPr>
                                <w:b/>
                                <w:sz w:val="28"/>
                              </w:rPr>
                            </w:pPr>
                            <w:r>
                              <w:rPr>
                                <w:b/>
                                <w:sz w:val="28"/>
                              </w:rPr>
                              <w:t xml:space="preserve">M </w:t>
                            </w:r>
                            <w:r w:rsidR="00CC5814">
                              <w:rPr>
                                <w:b/>
                                <w:sz w:val="28"/>
                              </w:rPr>
                              <w:t>8</w:t>
                            </w:r>
                            <w:r>
                              <w:rPr>
                                <w:b/>
                                <w:sz w:val="28"/>
                              </w:rPr>
                              <w:t xml:space="preserve"> a</w:t>
                            </w:r>
                            <w:r w:rsidRPr="00443F9E">
                              <w:rPr>
                                <w:b/>
                                <w:sz w:val="28"/>
                              </w:rPr>
                              <w:t xml:space="preserve"> </w:t>
                            </w:r>
                            <w:proofErr w:type="spellStart"/>
                            <w:r>
                              <w:rPr>
                                <w:b/>
                                <w:sz w:val="2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402pt;margin-top:-6.2pt;width:48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">
                <v:textbox>
                  <w:txbxContent>
                    <w:p w:rsidR="006626F4" w:rsidRPr="00443F9E" w:rsidRDefault="006626F4" w:rsidP="0049666F">
                      <w:pPr>
                        <w:rPr>
                          <w:b/>
                          <w:sz w:val="28"/>
                        </w:rPr>
                      </w:pPr>
                      <w:r>
                        <w:rPr>
                          <w:b/>
                          <w:sz w:val="28"/>
                        </w:rPr>
                        <w:t xml:space="preserve">M </w:t>
                      </w:r>
                      <w:r w:rsidR="00CC5814">
                        <w:rPr>
                          <w:b/>
                          <w:sz w:val="28"/>
                        </w:rPr>
                        <w:t>8</w:t>
                      </w:r>
                      <w:r>
                        <w:rPr>
                          <w:b/>
                          <w:sz w:val="28"/>
                        </w:rPr>
                        <w:t xml:space="preserve"> a</w:t>
                      </w:r>
                      <w:r w:rsidRPr="00443F9E">
                        <w:rPr>
                          <w:b/>
                          <w:sz w:val="28"/>
                        </w:rPr>
                        <w:t xml:space="preserve"> </w:t>
                      </w:r>
                      <w:proofErr w:type="spellStart"/>
                      <w:r>
                        <w:rPr>
                          <w:b/>
                          <w:sz w:val="28"/>
                        </w:rPr>
                        <w:t>a</w:t>
                      </w:r>
                      <w:proofErr w:type="spellEnd"/>
                    </w:p>
                  </w:txbxContent>
                </v:textbox>
              </v:shape>
            </w:pict>
          </mc:Fallback>
        </mc:AlternateContent>
      </w:r>
      <w:r w:rsidR="004C0FB9">
        <w:rPr>
          <w:rFonts w:ascii="Arial" w:hAnsi="Arial" w:cs="Arial"/>
          <w:b/>
          <w:u w:val="single"/>
        </w:rPr>
        <w:t>Menschenrechte</w:t>
      </w:r>
    </w:p>
    <w:p w:rsidR="004C0FB9" w:rsidRDefault="00E36138" w:rsidP="004C0FB9">
      <w:pPr>
        <w:spacing w:before="100" w:beforeAutospacing="1" w:after="100" w:afterAutospacing="1" w:line="240" w:lineRule="auto"/>
        <w:rPr>
          <w:rFonts w:ascii="Arial" w:hAnsi="Arial" w:cs="Arial"/>
          <w:lang w:eastAsia="de-DE"/>
        </w:rPr>
      </w:pPr>
      <w:r>
        <w:rPr>
          <w:noProof/>
        </w:rPr>
        <mc:AlternateContent>
          <mc:Choice Requires="wps">
            <w:drawing>
              <wp:anchor distT="0" distB="0" distL="114300" distR="114300" simplePos="0" relativeHeight="251665408" behindDoc="0" locked="0" layoutInCell="1" allowOverlap="1" wp14:anchorId="69746D5C" wp14:editId="329463D3">
                <wp:simplePos x="0" y="0"/>
                <wp:positionH relativeFrom="column">
                  <wp:posOffset>3175</wp:posOffset>
                </wp:positionH>
                <wp:positionV relativeFrom="paragraph">
                  <wp:posOffset>1045210</wp:posOffset>
                </wp:positionV>
                <wp:extent cx="1329690" cy="635"/>
                <wp:effectExtent l="0" t="0" r="0" b="0"/>
                <wp:wrapTight wrapText="bothSides">
                  <wp:wrapPolygon edited="0">
                    <wp:start x="0" y="0"/>
                    <wp:lineTo x="0" y="21600"/>
                    <wp:lineTo x="21600" y="21600"/>
                    <wp:lineTo x="21600" y="0"/>
                  </wp:wrapPolygon>
                </wp:wrapTight>
                <wp:docPr id="4" name="Textfeld 4"/>
                <wp:cNvGraphicFramePr/>
                <a:graphic xmlns:a="http://schemas.openxmlformats.org/drawingml/2006/main">
                  <a:graphicData uri="http://schemas.microsoft.com/office/word/2010/wordprocessingShape">
                    <wps:wsp>
                      <wps:cNvSpPr txBox="1"/>
                      <wps:spPr>
                        <a:xfrm>
                          <a:off x="0" y="0"/>
                          <a:ext cx="1329690" cy="635"/>
                        </a:xfrm>
                        <a:prstGeom prst="rect">
                          <a:avLst/>
                        </a:prstGeom>
                        <a:solidFill>
                          <a:prstClr val="white"/>
                        </a:solidFill>
                        <a:ln>
                          <a:noFill/>
                        </a:ln>
                        <a:effectLst/>
                      </wps:spPr>
                      <wps:txbx>
                        <w:txbxContent>
                          <w:p w:rsidR="00E36138" w:rsidRPr="00E36138" w:rsidRDefault="00E36138" w:rsidP="00E36138">
                            <w:pPr>
                              <w:pStyle w:val="Beschriftung"/>
                              <w:rPr>
                                <w:b w:val="0"/>
                                <w:noProof/>
                                <w:color w:val="auto"/>
                              </w:rPr>
                            </w:pPr>
                            <w:r w:rsidRPr="00E36138">
                              <w:rPr>
                                <w:b w:val="0"/>
                                <w:color w:val="auto"/>
                              </w:rPr>
                              <w:t xml:space="preserve">Quelle: </w:t>
                            </w:r>
                            <w:r w:rsidRPr="00E36138">
                              <w:rPr>
                                <w:b w:val="0"/>
                                <w:color w:val="auto"/>
                              </w:rPr>
                              <w:t>Friedrich-Naumann-Stiftung</w:t>
                            </w:r>
                            <w:r w:rsidRPr="00E36138">
                              <w:rPr>
                                <w:b w:val="0"/>
                                <w:color w:val="auto"/>
                              </w:rPr>
                              <w:t xml:space="preserve"> </w:t>
                            </w:r>
                            <w:r w:rsidRPr="00E36138">
                              <w:rPr>
                                <w:b w:val="0"/>
                                <w:color w:val="auto"/>
                              </w:rPr>
                              <w:t>FÜR DIE FREIHEIT</w:t>
                            </w:r>
                            <w:r w:rsidRPr="00E36138">
                              <w:rPr>
                                <w:b w:val="0"/>
                                <w:color w:val="auto"/>
                              </w:rPr>
                              <w:t xml:space="preserve">; </w:t>
                            </w:r>
                            <w:r w:rsidRPr="00E36138">
                              <w:rPr>
                                <w:b w:val="0"/>
                                <w:color w:val="auto"/>
                              </w:rPr>
                              <w:t>http://fnfeurope.files.wordpress.com/2012/06/600px-human_rights_logo-svg.png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5pt;margin-top:82.3pt;width:104.7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" stroked="f">
                <v:textbox style="mso-fit-shape-to-text:t" inset="0,0,0,0">
                  <w:txbxContent>
                    <w:p w:rsidR="00E36138" w:rsidRPr="00E36138" w:rsidRDefault="00E36138" w:rsidP="00E36138">
                      <w:pPr>
                        <w:pStyle w:val="Beschriftung"/>
                        <w:rPr>
                          <w:b w:val="0"/>
                          <w:noProof/>
                          <w:color w:val="auto"/>
                        </w:rPr>
                      </w:pPr>
                      <w:r w:rsidRPr="00E36138">
                        <w:rPr>
                          <w:b w:val="0"/>
                          <w:color w:val="auto"/>
                        </w:rPr>
                        <w:t xml:space="preserve">Quelle: </w:t>
                      </w:r>
                      <w:r w:rsidRPr="00E36138">
                        <w:rPr>
                          <w:b w:val="0"/>
                          <w:color w:val="auto"/>
                        </w:rPr>
                        <w:t>Friedrich-Naumann-Stiftung</w:t>
                      </w:r>
                      <w:r w:rsidRPr="00E36138">
                        <w:rPr>
                          <w:b w:val="0"/>
                          <w:color w:val="auto"/>
                        </w:rPr>
                        <w:t xml:space="preserve"> </w:t>
                      </w:r>
                      <w:r w:rsidRPr="00E36138">
                        <w:rPr>
                          <w:b w:val="0"/>
                          <w:color w:val="auto"/>
                        </w:rPr>
                        <w:t>FÜR DIE FREIHEIT</w:t>
                      </w:r>
                      <w:r w:rsidRPr="00E36138">
                        <w:rPr>
                          <w:b w:val="0"/>
                          <w:color w:val="auto"/>
                        </w:rPr>
                        <w:t xml:space="preserve">; </w:t>
                      </w:r>
                      <w:r w:rsidRPr="00E36138">
                        <w:rPr>
                          <w:b w:val="0"/>
                          <w:color w:val="auto"/>
                        </w:rPr>
                        <w:t>http://fnfeurope.files.wordpress.com/2012/06/600px-human_rights_logo-svg.png</w:t>
                      </w:r>
                    </w:p>
                  </w:txbxContent>
                </v:textbox>
                <w10:wrap type="tight"/>
              </v:shape>
            </w:pict>
          </mc:Fallback>
        </mc:AlternateContent>
      </w:r>
      <w:r w:rsidR="004C0FB9">
        <w:rPr>
          <w:noProof/>
          <w:lang w:eastAsia="de-DE"/>
        </w:rPr>
        <w:drawing>
          <wp:anchor distT="0" distB="0" distL="114300" distR="114300" simplePos="0" relativeHeight="251659264" behindDoc="1" locked="0" layoutInCell="1" allowOverlap="1">
            <wp:simplePos x="0" y="0"/>
            <wp:positionH relativeFrom="column">
              <wp:posOffset>3175</wp:posOffset>
            </wp:positionH>
            <wp:positionV relativeFrom="paragraph">
              <wp:posOffset>52070</wp:posOffset>
            </wp:positionV>
            <wp:extent cx="1329690" cy="935990"/>
            <wp:effectExtent l="19050" t="19050" r="22860" b="16510"/>
            <wp:wrapTight wrapText="bothSides">
              <wp:wrapPolygon edited="0">
                <wp:start x="-309" y="-440"/>
                <wp:lineTo x="-309" y="21541"/>
                <wp:lineTo x="21662" y="21541"/>
                <wp:lineTo x="21662" y="-440"/>
                <wp:lineTo x="-309" y="-440"/>
              </wp:wrapPolygon>
            </wp:wrapTight>
            <wp:docPr id="9" name="Grafik 9" descr="http://www.citizentimes.eu/wp-content/uploads/2012/03/human-righ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citizentimes.eu/wp-content/uploads/2012/03/human-right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35990"/>
                    </a:xfrm>
                    <a:prstGeom prst="rect">
                      <a:avLst/>
                    </a:prstGeom>
                    <a:noFill/>
                    <a:ln w="9525">
                      <a:solidFill>
                        <a:srgbClr val="000000">
                          <a:alpha val="50195"/>
                        </a:srgbClr>
                      </a:solidFill>
                      <a:miter lim="800000"/>
                      <a:headEnd/>
                      <a:tailEnd/>
                    </a:ln>
                  </pic:spPr>
                </pic:pic>
              </a:graphicData>
            </a:graphic>
            <wp14:sizeRelH relativeFrom="page">
              <wp14:pctWidth>0</wp14:pctWidth>
            </wp14:sizeRelH>
            <wp14:sizeRelV relativeFrom="page">
              <wp14:pctHeight>0</wp14:pctHeight>
            </wp14:sizeRelV>
          </wp:anchor>
        </w:drawing>
      </w:r>
      <w:r w:rsidR="004C0FB9">
        <w:rPr>
          <w:rFonts w:ascii="Arial" w:hAnsi="Arial" w:cs="Arial"/>
          <w:lang w:eastAsia="de-DE"/>
        </w:rPr>
        <w:t xml:space="preserve">Menschenrechte sind die angeborenen unveräußerlichen Rechte eines jeden Menschen, die die moralische und rechtliche Basis der Menschheit bilden. Sie sind vor- und überstaatlich, d. h. höher gestellt als die Rechte des Staates. Sie können daher auch nicht von diesem verliehen, sondern nur als solche anerkannt werden. Zu den Menschenrechten gehören: </w:t>
      </w:r>
      <w:r w:rsidR="004C0FB9">
        <w:rPr>
          <w:rFonts w:ascii="Arial" w:hAnsi="Arial" w:cs="Arial"/>
          <w:lang w:eastAsia="de-DE"/>
        </w:rPr>
        <w:br/>
      </w:r>
      <w:r w:rsidR="004C0FB9">
        <w:rPr>
          <w:rFonts w:ascii="Arial" w:hAnsi="Arial" w:cs="Arial"/>
          <w:lang w:eastAsia="de-DE"/>
        </w:rPr>
        <w:br/>
        <w:t xml:space="preserve">1. die sog. liberalen Verteidigungsrechte: a) das Recht auf Leben, Unversehrtheit und Sicherheit, b) das Recht auf (Meinungs-, Glaubens-, Gewissens-)Freiheit, auf c) Eigentum und auf d) Gleichheit (d. h. das Verbot rassistischer, geschlechtlicher, religiöser, politischer und sonstiger Diskriminierung) und e) das Recht auf Widerstand gegen Unterdrückung; </w:t>
      </w:r>
      <w:r w:rsidR="004C0FB9">
        <w:rPr>
          <w:rFonts w:ascii="Arial" w:hAnsi="Arial" w:cs="Arial"/>
          <w:lang w:eastAsia="de-DE"/>
        </w:rPr>
        <w:br/>
      </w:r>
      <w:r w:rsidR="004C0FB9">
        <w:rPr>
          <w:rFonts w:ascii="Arial" w:hAnsi="Arial" w:cs="Arial"/>
          <w:lang w:eastAsia="de-DE"/>
        </w:rPr>
        <w:br/>
        <w:t xml:space="preserve">2. die sog. demokratischen und sozialen Rechte: a) das Recht auf Freizügigkeit, b) die Versammlungsfreiheit, c) die Vereinigungs- und Koalitionsfreiheit (d. h. auch Streikrecht), </w:t>
      </w:r>
      <w:r>
        <w:rPr>
          <w:rFonts w:ascii="Arial" w:hAnsi="Arial" w:cs="Arial"/>
          <w:lang w:eastAsia="de-DE"/>
        </w:rPr>
        <w:t xml:space="preserve">   </w:t>
      </w:r>
      <w:r w:rsidR="004C0FB9">
        <w:rPr>
          <w:rFonts w:ascii="Arial" w:hAnsi="Arial" w:cs="Arial"/>
          <w:lang w:eastAsia="de-DE"/>
        </w:rPr>
        <w:t xml:space="preserve">d) das Wahlrecht, e) das Recht auf Erwerbsmöglichkeit und gerechten Lohn und f) das Recht auf Bildung. </w:t>
      </w:r>
      <w:r w:rsidR="004C0FB9">
        <w:rPr>
          <w:rFonts w:ascii="Arial" w:hAnsi="Arial" w:cs="Arial"/>
          <w:lang w:eastAsia="de-DE"/>
        </w:rPr>
        <w:br/>
      </w:r>
      <w:r w:rsidR="004C0FB9">
        <w:rPr>
          <w:rFonts w:ascii="Arial" w:hAnsi="Arial" w:cs="Arial"/>
          <w:lang w:eastAsia="de-DE"/>
        </w:rPr>
        <w:br/>
        <w:t>Die Tatsache, dass die Menschenrechte in aller Welt täglich gebrochen werden, zeigt, dass Rechte nicht ein für alle Mal gegeben, sondern immer wieder eingefordert werden müssen, dass Recht gegen Unrecht immer wieder aufs Neue durchgesetzt werden muss.</w:t>
      </w:r>
    </w:p>
    <w:p w:rsidR="004C0FB9" w:rsidRDefault="004C0FB9" w:rsidP="004C0FB9">
      <w:pPr>
        <w:pStyle w:val="StandardWeb"/>
        <w:spacing w:line="276" w:lineRule="auto"/>
        <w:jc w:val="right"/>
        <w:rPr>
          <w:rFonts w:ascii="Arial" w:hAnsi="Arial" w:cs="Arial"/>
          <w:sz w:val="16"/>
          <w:szCs w:val="16"/>
          <w:u w:val="single"/>
        </w:rPr>
      </w:pPr>
      <w:r w:rsidRPr="00E36138">
        <w:rPr>
          <w:rFonts w:ascii="Arial" w:hAnsi="Arial" w:cs="Arial"/>
          <w:sz w:val="16"/>
          <w:szCs w:val="16"/>
        </w:rPr>
        <w:t>Quelle: Bundeszentrale</w:t>
      </w:r>
      <w:r>
        <w:rPr>
          <w:rFonts w:ascii="Arial" w:hAnsi="Arial" w:cs="Arial"/>
          <w:sz w:val="16"/>
          <w:szCs w:val="16"/>
        </w:rPr>
        <w:t xml:space="preserve"> für politische Bildung, Menschenrechte, http://www.bpb.de/nachschlagen/lexika/politiklexikon/17842/menschenrechte</w:t>
      </w:r>
    </w:p>
    <w:p w:rsidR="004C0FB9" w:rsidRDefault="004C0FB9" w:rsidP="004C0FB9">
      <w:pPr>
        <w:spacing w:line="240" w:lineRule="auto"/>
        <w:jc w:val="center"/>
        <w:rPr>
          <w:rFonts w:ascii="Arial" w:hAnsi="Arial" w:cs="Arial"/>
          <w:b/>
          <w:u w:val="single"/>
        </w:rPr>
      </w:pPr>
      <w:r>
        <w:rPr>
          <w:rFonts w:ascii="Arial" w:hAnsi="Arial" w:cs="Arial"/>
          <w:b/>
          <w:u w:val="single"/>
        </w:rPr>
        <w:t xml:space="preserve">Amnesty Report 2013: </w:t>
      </w:r>
      <w:proofErr w:type="spellStart"/>
      <w:r>
        <w:rPr>
          <w:rFonts w:ascii="Arial" w:hAnsi="Arial" w:cs="Arial"/>
          <w:b/>
          <w:u w:val="single"/>
        </w:rPr>
        <w:t>Südsudan</w:t>
      </w:r>
      <w:proofErr w:type="spellEnd"/>
    </w:p>
    <w:p w:rsidR="004C0FB9" w:rsidRDefault="00E36138" w:rsidP="004C0FB9">
      <w:pPr>
        <w:spacing w:line="240" w:lineRule="auto"/>
        <w:rPr>
          <w:rFonts w:ascii="Arial" w:hAnsi="Arial" w:cs="Arial"/>
        </w:rPr>
      </w:pPr>
      <w:r>
        <w:rPr>
          <w:noProof/>
        </w:rPr>
        <mc:AlternateContent>
          <mc:Choice Requires="wps">
            <w:drawing>
              <wp:anchor distT="0" distB="0" distL="114300" distR="114300" simplePos="0" relativeHeight="251667456" behindDoc="0" locked="0" layoutInCell="1" allowOverlap="1" wp14:anchorId="3ACBC66B" wp14:editId="3687C3F9">
                <wp:simplePos x="0" y="0"/>
                <wp:positionH relativeFrom="column">
                  <wp:posOffset>23495</wp:posOffset>
                </wp:positionH>
                <wp:positionV relativeFrom="paragraph">
                  <wp:posOffset>2130425</wp:posOffset>
                </wp:positionV>
                <wp:extent cx="3314700" cy="635"/>
                <wp:effectExtent l="0" t="0" r="0" b="6985"/>
                <wp:wrapSquare wrapText="bothSides"/>
                <wp:docPr id="5" name="Textfeld 5"/>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a:effectLst/>
                      </wps:spPr>
                      <wps:txbx>
                        <w:txbxContent>
                          <w:p w:rsidR="00E36138" w:rsidRPr="00383D35" w:rsidRDefault="00E36138" w:rsidP="00E36138">
                            <w:pPr>
                              <w:pStyle w:val="Beschriftung"/>
                              <w:rPr>
                                <w:b w:val="0"/>
                                <w:noProof/>
                                <w:color w:val="auto"/>
                                <w:lang w:val="en-US"/>
                              </w:rPr>
                            </w:pPr>
                            <w:proofErr w:type="spellStart"/>
                            <w:r w:rsidRPr="00383D35">
                              <w:rPr>
                                <w:b w:val="0"/>
                                <w:color w:val="auto"/>
                                <w:lang w:val="en-US"/>
                              </w:rPr>
                              <w:t>Quelle</w:t>
                            </w:r>
                            <w:proofErr w:type="spellEnd"/>
                            <w:r w:rsidRPr="00383D35">
                              <w:rPr>
                                <w:b w:val="0"/>
                                <w:color w:val="auto"/>
                                <w:lang w:val="en-US"/>
                              </w:rPr>
                              <w:t xml:space="preserve">: </w:t>
                            </w:r>
                            <w:hyperlink r:id="rId10" w:tooltip="w:en:Creative Commons" w:history="1">
                              <w:r w:rsidRPr="00383D35">
                                <w:rPr>
                                  <w:rStyle w:val="Hyperlink"/>
                                  <w:b w:val="0"/>
                                  <w:color w:val="auto"/>
                                  <w:u w:val="none"/>
                                  <w:lang w:val="en-US"/>
                                </w:rPr>
                                <w:t>Creative Commons</w:t>
                              </w:r>
                            </w:hyperlink>
                            <w:r w:rsidRPr="00383D35">
                              <w:rPr>
                                <w:b w:val="0"/>
                                <w:color w:val="auto"/>
                                <w:lang w:val="en-US"/>
                              </w:rPr>
                              <w:t xml:space="preserve"> </w:t>
                            </w:r>
                            <w:hyperlink r:id="rId11" w:history="1">
                              <w:r w:rsidRPr="00383D35">
                                <w:rPr>
                                  <w:rStyle w:val="Hyperlink"/>
                                  <w:b w:val="0"/>
                                  <w:color w:val="auto"/>
                                  <w:u w:val="none"/>
                                  <w:lang w:val="en-US"/>
                                </w:rPr>
                                <w:t>Attribution-</w:t>
                              </w:r>
                            </w:hyperlink>
                            <w:hyperlink r:id="rId12" w:history="1">
                              <w:r w:rsidRPr="00383D35">
                                <w:rPr>
                                  <w:rStyle w:val="Hyperlink"/>
                                  <w:b w:val="0"/>
                                  <w:color w:val="auto"/>
                                  <w:u w:val="none"/>
                                  <w:lang w:val="en-US"/>
                                </w:rPr>
                                <w:t>Share Alike 3.0 Unported</w:t>
                              </w:r>
                            </w:hyperlink>
                            <w:r w:rsidRPr="00383D35">
                              <w:rPr>
                                <w:b w:val="0"/>
                                <w:color w:val="auto"/>
                                <w:lang w:val="en-US"/>
                              </w:rPr>
                              <w:t xml:space="preserve">; TUBS; </w:t>
                            </w:r>
                            <w:hyperlink r:id="rId13" w:history="1">
                              <w:r w:rsidRPr="00383D35">
                                <w:rPr>
                                  <w:rStyle w:val="Hyperlink"/>
                                  <w:b w:val="0"/>
                                  <w:color w:val="auto"/>
                                  <w:u w:val="none"/>
                                  <w:lang w:val="en-US"/>
                                </w:rPr>
                                <w:t>http://commons.wikimedia.org/wiki/South_Sudan#</w:t>
                              </w:r>
                            </w:hyperlink>
                            <w:r w:rsidRPr="00383D35">
                              <w:rPr>
                                <w:b w:val="0"/>
                                <w:color w:val="auto"/>
                                <w:lang w:val="en-US"/>
                              </w:rPr>
                              <w:t xml:space="preserve"> </w:t>
                            </w:r>
                            <w:proofErr w:type="spellStart"/>
                            <w:r w:rsidRPr="00383D35">
                              <w:rPr>
                                <w:b w:val="0"/>
                                <w:color w:val="auto"/>
                                <w:lang w:val="en-US"/>
                              </w:rPr>
                              <w:t>mediaviewer</w:t>
                            </w:r>
                            <w:proofErr w:type="spellEnd"/>
                            <w:r w:rsidRPr="00383D35">
                              <w:rPr>
                                <w:b w:val="0"/>
                                <w:color w:val="auto"/>
                                <w:lang w:val="en-US"/>
                              </w:rPr>
                              <w:t>/</w:t>
                            </w:r>
                            <w:r>
                              <w:rPr>
                                <w:b w:val="0"/>
                                <w:color w:val="auto"/>
                                <w:lang w:val="en-US"/>
                              </w:rPr>
                              <w:t>F</w:t>
                            </w:r>
                            <w:r w:rsidRPr="00383D35">
                              <w:rPr>
                                <w:b w:val="0"/>
                                <w:color w:val="auto"/>
                                <w:lang w:val="en-US"/>
                              </w:rPr>
                              <w:t>ile</w:t>
                            </w:r>
                            <w:proofErr w:type="gramStart"/>
                            <w:r w:rsidRPr="00383D35">
                              <w:rPr>
                                <w:b w:val="0"/>
                                <w:color w:val="auto"/>
                                <w:lang w:val="en-US"/>
                              </w:rPr>
                              <w:t>:South</w:t>
                            </w:r>
                            <w:proofErr w:type="gramEnd"/>
                            <w:r w:rsidRPr="00383D35">
                              <w:rPr>
                                <w:b w:val="0"/>
                                <w:color w:val="auto"/>
                                <w:lang w:val="en-US"/>
                              </w:rPr>
                              <w:t>_Sudan_in_its_region_%28undisputed%29.svg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 o:spid="_x0000_s1028" type="#_x0000_t202" style="position:absolute;margin-left:1.85pt;margin-top:167.75pt;width:261pt;height:.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" stroked="f">
                <v:textbox style="mso-fit-shape-to-text:t" inset="0,0,0,0">
                  <w:txbxContent>
                    <w:p w:rsidR="00E36138" w:rsidRPr="00383D35" w:rsidRDefault="00E36138" w:rsidP="00E36138">
                      <w:pPr>
                        <w:pStyle w:val="Beschriftung"/>
                        <w:rPr>
                          <w:b w:val="0"/>
                          <w:noProof/>
                          <w:color w:val="auto"/>
                          <w:lang w:val="en-US"/>
                        </w:rPr>
                      </w:pPr>
                      <w:proofErr w:type="spellStart"/>
                      <w:r w:rsidRPr="00383D35">
                        <w:rPr>
                          <w:b w:val="0"/>
                          <w:color w:val="auto"/>
                          <w:lang w:val="en-US"/>
                        </w:rPr>
                        <w:t>Quelle</w:t>
                      </w:r>
                      <w:proofErr w:type="spellEnd"/>
                      <w:r w:rsidRPr="00383D35">
                        <w:rPr>
                          <w:b w:val="0"/>
                          <w:color w:val="auto"/>
                          <w:lang w:val="en-US"/>
                        </w:rPr>
                        <w:t xml:space="preserve">: </w:t>
                      </w:r>
                      <w:hyperlink r:id="rId14" w:tooltip="w:en:Creative Commons" w:history="1">
                        <w:r w:rsidRPr="00383D35">
                          <w:rPr>
                            <w:rStyle w:val="Hyperlink"/>
                            <w:b w:val="0"/>
                            <w:color w:val="auto"/>
                            <w:u w:val="none"/>
                            <w:lang w:val="en-US"/>
                          </w:rPr>
                          <w:t>Creative Commons</w:t>
                        </w:r>
                      </w:hyperlink>
                      <w:r w:rsidRPr="00383D35">
                        <w:rPr>
                          <w:b w:val="0"/>
                          <w:color w:val="auto"/>
                          <w:lang w:val="en-US"/>
                        </w:rPr>
                        <w:t xml:space="preserve"> </w:t>
                      </w:r>
                      <w:hyperlink r:id="rId15" w:history="1">
                        <w:r w:rsidRPr="00383D35">
                          <w:rPr>
                            <w:rStyle w:val="Hyperlink"/>
                            <w:b w:val="0"/>
                            <w:color w:val="auto"/>
                            <w:u w:val="none"/>
                            <w:lang w:val="en-US"/>
                          </w:rPr>
                          <w:t>Attribution-</w:t>
                        </w:r>
                      </w:hyperlink>
                      <w:hyperlink r:id="rId16" w:history="1">
                        <w:r w:rsidRPr="00383D35">
                          <w:rPr>
                            <w:rStyle w:val="Hyperlink"/>
                            <w:b w:val="0"/>
                            <w:color w:val="auto"/>
                            <w:u w:val="none"/>
                            <w:lang w:val="en-US"/>
                          </w:rPr>
                          <w:t>Share Alike 3.0 Unported</w:t>
                        </w:r>
                      </w:hyperlink>
                      <w:r w:rsidRPr="00383D35">
                        <w:rPr>
                          <w:b w:val="0"/>
                          <w:color w:val="auto"/>
                          <w:lang w:val="en-US"/>
                        </w:rPr>
                        <w:t xml:space="preserve">; TUBS; </w:t>
                      </w:r>
                      <w:hyperlink r:id="rId17" w:history="1">
                        <w:r w:rsidRPr="00383D35">
                          <w:rPr>
                            <w:rStyle w:val="Hyperlink"/>
                            <w:b w:val="0"/>
                            <w:color w:val="auto"/>
                            <w:u w:val="none"/>
                            <w:lang w:val="en-US"/>
                          </w:rPr>
                          <w:t>http://commons.wikimedia.org/wiki/South_Sudan#</w:t>
                        </w:r>
                      </w:hyperlink>
                      <w:r w:rsidRPr="00383D35">
                        <w:rPr>
                          <w:b w:val="0"/>
                          <w:color w:val="auto"/>
                          <w:lang w:val="en-US"/>
                        </w:rPr>
                        <w:t xml:space="preserve"> </w:t>
                      </w:r>
                      <w:proofErr w:type="spellStart"/>
                      <w:r w:rsidRPr="00383D35">
                        <w:rPr>
                          <w:b w:val="0"/>
                          <w:color w:val="auto"/>
                          <w:lang w:val="en-US"/>
                        </w:rPr>
                        <w:t>mediaviewer</w:t>
                      </w:r>
                      <w:proofErr w:type="spellEnd"/>
                      <w:r w:rsidRPr="00383D35">
                        <w:rPr>
                          <w:b w:val="0"/>
                          <w:color w:val="auto"/>
                          <w:lang w:val="en-US"/>
                        </w:rPr>
                        <w:t>/</w:t>
                      </w:r>
                      <w:r>
                        <w:rPr>
                          <w:b w:val="0"/>
                          <w:color w:val="auto"/>
                          <w:lang w:val="en-US"/>
                        </w:rPr>
                        <w:t>F</w:t>
                      </w:r>
                      <w:r w:rsidRPr="00383D35">
                        <w:rPr>
                          <w:b w:val="0"/>
                          <w:color w:val="auto"/>
                          <w:lang w:val="en-US"/>
                        </w:rPr>
                        <w:t>ile</w:t>
                      </w:r>
                      <w:proofErr w:type="gramStart"/>
                      <w:r w:rsidRPr="00383D35">
                        <w:rPr>
                          <w:b w:val="0"/>
                          <w:color w:val="auto"/>
                          <w:lang w:val="en-US"/>
                        </w:rPr>
                        <w:t>:South</w:t>
                      </w:r>
                      <w:proofErr w:type="gramEnd"/>
                      <w:r w:rsidRPr="00383D35">
                        <w:rPr>
                          <w:b w:val="0"/>
                          <w:color w:val="auto"/>
                          <w:lang w:val="en-US"/>
                        </w:rPr>
                        <w:t>_Sudan_in_its_region_%28undisputed%29.svg</w:t>
                      </w:r>
                    </w:p>
                  </w:txbxContent>
                </v:textbox>
                <w10:wrap type="square"/>
              </v:shape>
            </w:pict>
          </mc:Fallback>
        </mc:AlternateContent>
      </w:r>
      <w:r w:rsidR="00C14F78">
        <w:rPr>
          <w:noProof/>
          <w:lang w:eastAsia="de-DE"/>
        </w:rPr>
        <w:drawing>
          <wp:anchor distT="0" distB="0" distL="114300" distR="114300" simplePos="0" relativeHeight="251660288" behindDoc="0" locked="0" layoutInCell="1" allowOverlap="1">
            <wp:simplePos x="0" y="0"/>
            <wp:positionH relativeFrom="column">
              <wp:posOffset>23495</wp:posOffset>
            </wp:positionH>
            <wp:positionV relativeFrom="paragraph">
              <wp:posOffset>22860</wp:posOffset>
            </wp:positionV>
            <wp:extent cx="3232514" cy="2052000"/>
            <wp:effectExtent l="19050" t="19050" r="25400" b="24765"/>
            <wp:wrapSquare wrapText="bothSides"/>
            <wp:docPr id="2" name="Grafik 2" descr="http://upload.wikimedia.org/wikipedia/commons/thumb/8/8f/South_Sudan_in_its_region_%28undisputed%29.svg/619px-South_Sudan_in_its_region_%28undisputed%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f/South_Sudan_in_its_region_%28undisputed%29.svg/619px-South_Sudan_in_its_region_%28undisputed%29.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514" cy="2052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C0FB9">
        <w:rPr>
          <w:rFonts w:ascii="Arial" w:hAnsi="Arial" w:cs="Arial"/>
        </w:rPr>
        <w:t xml:space="preserve">Am 9. Juli 2012 beging </w:t>
      </w:r>
      <w:proofErr w:type="spellStart"/>
      <w:r w:rsidR="004C0FB9">
        <w:rPr>
          <w:rFonts w:ascii="Arial" w:hAnsi="Arial" w:cs="Arial"/>
        </w:rPr>
        <w:t>Südsudan</w:t>
      </w:r>
      <w:proofErr w:type="spellEnd"/>
      <w:r w:rsidR="004C0FB9">
        <w:rPr>
          <w:rFonts w:ascii="Arial" w:hAnsi="Arial" w:cs="Arial"/>
        </w:rPr>
        <w:t xml:space="preserve"> den ersten Jahrestag seiner Unabhängigkeit. Die Vertragsverhandlungen, die nach der Unabhängigkeit zwischen </w:t>
      </w:r>
      <w:proofErr w:type="spellStart"/>
      <w:r w:rsidR="004C0FB9">
        <w:rPr>
          <w:rFonts w:ascii="Arial" w:hAnsi="Arial" w:cs="Arial"/>
        </w:rPr>
        <w:t>Südsudan</w:t>
      </w:r>
      <w:proofErr w:type="spellEnd"/>
      <w:r w:rsidR="004C0FB9">
        <w:rPr>
          <w:rFonts w:ascii="Arial" w:hAnsi="Arial" w:cs="Arial"/>
        </w:rPr>
        <w:t xml:space="preserve"> und Sudan aufgenommen worden waren, wurden zum Jahresende fortgesetzt. Sie betrafen die Aufteilung der Erdöleinnahmen, Sicherheitsvorkehrungen, den Grenzverlauf und den Status des umstrittenen Gebiets </w:t>
      </w:r>
      <w:proofErr w:type="spellStart"/>
      <w:r w:rsidR="004C0FB9">
        <w:rPr>
          <w:rFonts w:ascii="Arial" w:hAnsi="Arial" w:cs="Arial"/>
        </w:rPr>
        <w:t>Abyei</w:t>
      </w:r>
      <w:proofErr w:type="spellEnd"/>
      <w:r w:rsidR="004C0FB9">
        <w:rPr>
          <w:rFonts w:ascii="Arial" w:hAnsi="Arial" w:cs="Arial"/>
        </w:rPr>
        <w:t xml:space="preserve">. Die Sudanesische Volksbefreiungsarmee (Sudan </w:t>
      </w:r>
      <w:proofErr w:type="spellStart"/>
      <w:r w:rsidR="004C0FB9">
        <w:rPr>
          <w:rFonts w:ascii="Arial" w:hAnsi="Arial" w:cs="Arial"/>
        </w:rPr>
        <w:t>People's</w:t>
      </w:r>
      <w:proofErr w:type="spellEnd"/>
      <w:r w:rsidR="004C0FB9">
        <w:rPr>
          <w:rFonts w:ascii="Arial" w:hAnsi="Arial" w:cs="Arial"/>
        </w:rPr>
        <w:t xml:space="preserve"> Liberation </w:t>
      </w:r>
      <w:proofErr w:type="spellStart"/>
      <w:r w:rsidR="004C0FB9">
        <w:rPr>
          <w:rFonts w:ascii="Arial" w:hAnsi="Arial" w:cs="Arial"/>
        </w:rPr>
        <w:t>Army</w:t>
      </w:r>
      <w:proofErr w:type="spellEnd"/>
      <w:r w:rsidR="004C0FB9">
        <w:rPr>
          <w:rFonts w:ascii="Arial" w:hAnsi="Arial" w:cs="Arial"/>
        </w:rPr>
        <w:t xml:space="preserve"> - SPLA) und der Südsudanesische Polizeidienst (South Sudan Police Service - SSPS) begingen weiterhin Menschenrechtsverletzungen, die zumeist straflos blieben. Zusätzlich zu Flucht und Vertreibung innerhalb Südsudans setzte sich der starke Zustrom von Flüchtlingen und Rückkehrern aus Sudan fort. […]</w:t>
      </w:r>
    </w:p>
    <w:p w:rsidR="004C0FB9" w:rsidRDefault="004C0FB9" w:rsidP="004C0FB9">
      <w:pPr>
        <w:spacing w:line="240" w:lineRule="auto"/>
        <w:rPr>
          <w:rFonts w:ascii="Arial" w:hAnsi="Arial" w:cs="Arial"/>
          <w:u w:val="single"/>
        </w:rPr>
      </w:pPr>
      <w:r>
        <w:rPr>
          <w:rFonts w:ascii="Arial" w:hAnsi="Arial" w:cs="Arial"/>
          <w:u w:val="single"/>
        </w:rPr>
        <w:lastRenderedPageBreak/>
        <w:t>Bewaffneter Konflikt</w:t>
      </w:r>
    </w:p>
    <w:p w:rsidR="004C0FB9" w:rsidRDefault="004C0FB9" w:rsidP="004C0FB9">
      <w:pPr>
        <w:spacing w:line="240" w:lineRule="auto"/>
        <w:rPr>
          <w:rFonts w:ascii="Arial" w:hAnsi="Arial" w:cs="Arial"/>
        </w:rPr>
      </w:pPr>
      <w:r>
        <w:rPr>
          <w:rFonts w:ascii="Arial" w:hAnsi="Arial" w:cs="Arial"/>
        </w:rPr>
        <w:t xml:space="preserve">Im März 2012 kam es im Gebiet </w:t>
      </w:r>
      <w:proofErr w:type="spellStart"/>
      <w:r>
        <w:rPr>
          <w:rFonts w:ascii="Arial" w:hAnsi="Arial" w:cs="Arial"/>
        </w:rPr>
        <w:t>Heglig</w:t>
      </w:r>
      <w:proofErr w:type="spellEnd"/>
      <w:r>
        <w:rPr>
          <w:rFonts w:ascii="Arial" w:hAnsi="Arial" w:cs="Arial"/>
        </w:rPr>
        <w:t>/</w:t>
      </w:r>
      <w:proofErr w:type="spellStart"/>
      <w:r>
        <w:rPr>
          <w:rFonts w:ascii="Arial" w:hAnsi="Arial" w:cs="Arial"/>
        </w:rPr>
        <w:t>Panthou</w:t>
      </w:r>
      <w:proofErr w:type="spellEnd"/>
      <w:r>
        <w:rPr>
          <w:rFonts w:ascii="Arial" w:hAnsi="Arial" w:cs="Arial"/>
        </w:rPr>
        <w:t xml:space="preserve">, einer umstrittenen Erdölförderungsregion, die als Teil des sudanesischen Bundesstaats </w:t>
      </w:r>
      <w:proofErr w:type="spellStart"/>
      <w:r>
        <w:rPr>
          <w:rFonts w:ascii="Arial" w:hAnsi="Arial" w:cs="Arial"/>
        </w:rPr>
        <w:t>Südkordofan</w:t>
      </w:r>
      <w:proofErr w:type="spellEnd"/>
      <w:r>
        <w:rPr>
          <w:rFonts w:ascii="Arial" w:hAnsi="Arial" w:cs="Arial"/>
        </w:rPr>
        <w:t xml:space="preserve"> angesehen wird, auf die aber auch der südsudanesische Bundesstaat </w:t>
      </w:r>
      <w:proofErr w:type="spellStart"/>
      <w:r>
        <w:rPr>
          <w:rFonts w:ascii="Arial" w:hAnsi="Arial" w:cs="Arial"/>
        </w:rPr>
        <w:t>Unity</w:t>
      </w:r>
      <w:proofErr w:type="spellEnd"/>
      <w:r>
        <w:rPr>
          <w:rFonts w:ascii="Arial" w:hAnsi="Arial" w:cs="Arial"/>
        </w:rPr>
        <w:t xml:space="preserve"> Ansprüche erhebt, zu Gefechten zwischen der SPLA und den Sudanesischen Streitkräften (Sudan </w:t>
      </w:r>
      <w:proofErr w:type="spellStart"/>
      <w:r>
        <w:rPr>
          <w:rFonts w:ascii="Arial" w:hAnsi="Arial" w:cs="Arial"/>
        </w:rPr>
        <w:t>Armed</w:t>
      </w:r>
      <w:proofErr w:type="spellEnd"/>
      <w:r>
        <w:rPr>
          <w:rFonts w:ascii="Arial" w:hAnsi="Arial" w:cs="Arial"/>
        </w:rPr>
        <w:t xml:space="preserve"> Forces - SAF). Am 10. April eroberte und besetzte </w:t>
      </w:r>
      <w:proofErr w:type="spellStart"/>
      <w:r>
        <w:rPr>
          <w:rFonts w:ascii="Arial" w:hAnsi="Arial" w:cs="Arial"/>
        </w:rPr>
        <w:t>Südsudan</w:t>
      </w:r>
      <w:proofErr w:type="spellEnd"/>
      <w:r>
        <w:rPr>
          <w:rFonts w:ascii="Arial" w:hAnsi="Arial" w:cs="Arial"/>
        </w:rPr>
        <w:t xml:space="preserve"> das Gebiet </w:t>
      </w:r>
      <w:proofErr w:type="spellStart"/>
      <w:r>
        <w:rPr>
          <w:rFonts w:ascii="Arial" w:hAnsi="Arial" w:cs="Arial"/>
        </w:rPr>
        <w:t>Heglig</w:t>
      </w:r>
      <w:proofErr w:type="spellEnd"/>
      <w:r>
        <w:rPr>
          <w:rFonts w:ascii="Arial" w:hAnsi="Arial" w:cs="Arial"/>
        </w:rPr>
        <w:t>/</w:t>
      </w:r>
      <w:proofErr w:type="spellStart"/>
      <w:r>
        <w:rPr>
          <w:rFonts w:ascii="Arial" w:hAnsi="Arial" w:cs="Arial"/>
        </w:rPr>
        <w:t>Panthou</w:t>
      </w:r>
      <w:proofErr w:type="spellEnd"/>
      <w:r>
        <w:rPr>
          <w:rFonts w:ascii="Arial" w:hAnsi="Arial" w:cs="Arial"/>
        </w:rPr>
        <w:t xml:space="preserve">, und am 15. April weiteten sich die Kampfhandlungen entlang der Grenze zwischen den beiden Ländern auf </w:t>
      </w:r>
      <w:proofErr w:type="spellStart"/>
      <w:r>
        <w:rPr>
          <w:rFonts w:ascii="Arial" w:hAnsi="Arial" w:cs="Arial"/>
        </w:rPr>
        <w:t>Kiir</w:t>
      </w:r>
      <w:proofErr w:type="spellEnd"/>
      <w:r>
        <w:rPr>
          <w:rFonts w:ascii="Arial" w:hAnsi="Arial" w:cs="Arial"/>
        </w:rPr>
        <w:t xml:space="preserve"> Adem im Bundesstaat Northern Bahr </w:t>
      </w:r>
      <w:proofErr w:type="spellStart"/>
      <w:r>
        <w:rPr>
          <w:rFonts w:ascii="Arial" w:hAnsi="Arial" w:cs="Arial"/>
        </w:rPr>
        <w:t>el-Ghazal</w:t>
      </w:r>
      <w:proofErr w:type="spellEnd"/>
      <w:r>
        <w:rPr>
          <w:rFonts w:ascii="Arial" w:hAnsi="Arial" w:cs="Arial"/>
        </w:rPr>
        <w:t xml:space="preserve"> aus. Am 20. April ordnete </w:t>
      </w:r>
      <w:proofErr w:type="spellStart"/>
      <w:r>
        <w:rPr>
          <w:rFonts w:ascii="Arial" w:hAnsi="Arial" w:cs="Arial"/>
        </w:rPr>
        <w:t>Südsudan</w:t>
      </w:r>
      <w:proofErr w:type="spellEnd"/>
      <w:r>
        <w:rPr>
          <w:rFonts w:ascii="Arial" w:hAnsi="Arial" w:cs="Arial"/>
        </w:rPr>
        <w:t xml:space="preserve"> den bedingungslosen Rückzug der SPLA-Truppen vom Ölfeld </w:t>
      </w:r>
      <w:proofErr w:type="spellStart"/>
      <w:r>
        <w:rPr>
          <w:rFonts w:ascii="Arial" w:hAnsi="Arial" w:cs="Arial"/>
        </w:rPr>
        <w:t>Heglig</w:t>
      </w:r>
      <w:proofErr w:type="spellEnd"/>
      <w:r>
        <w:rPr>
          <w:rFonts w:ascii="Arial" w:hAnsi="Arial" w:cs="Arial"/>
        </w:rPr>
        <w:t>/</w:t>
      </w:r>
      <w:proofErr w:type="spellStart"/>
      <w:r>
        <w:rPr>
          <w:rFonts w:ascii="Arial" w:hAnsi="Arial" w:cs="Arial"/>
        </w:rPr>
        <w:t>Panthou</w:t>
      </w:r>
      <w:proofErr w:type="spellEnd"/>
      <w:r>
        <w:rPr>
          <w:rFonts w:ascii="Arial" w:hAnsi="Arial" w:cs="Arial"/>
        </w:rPr>
        <w:t xml:space="preserve"> an, um damit ein geeignetes Klima für Gespräche mit Sudan zu schaffen. Im April und Mai wurden die südsudanesischen Bundesstaaten </w:t>
      </w:r>
      <w:proofErr w:type="spellStart"/>
      <w:r>
        <w:rPr>
          <w:rFonts w:ascii="Arial" w:hAnsi="Arial" w:cs="Arial"/>
        </w:rPr>
        <w:t>Unity</w:t>
      </w:r>
      <w:proofErr w:type="spellEnd"/>
      <w:r>
        <w:rPr>
          <w:rFonts w:ascii="Arial" w:hAnsi="Arial" w:cs="Arial"/>
        </w:rPr>
        <w:t xml:space="preserve"> und Northern Bahr </w:t>
      </w:r>
      <w:proofErr w:type="spellStart"/>
      <w:r>
        <w:rPr>
          <w:rFonts w:ascii="Arial" w:hAnsi="Arial" w:cs="Arial"/>
        </w:rPr>
        <w:t>el-Ghazal</w:t>
      </w:r>
      <w:proofErr w:type="spellEnd"/>
      <w:r>
        <w:rPr>
          <w:rFonts w:ascii="Arial" w:hAnsi="Arial" w:cs="Arial"/>
        </w:rPr>
        <w:t xml:space="preserve"> wahllos aus der Luft bombardiert. Im November fanden erneut wahllose Luftangriffe auf den Bundesstaat Northern Bahr </w:t>
      </w:r>
      <w:proofErr w:type="spellStart"/>
      <w:r>
        <w:rPr>
          <w:rFonts w:ascii="Arial" w:hAnsi="Arial" w:cs="Arial"/>
        </w:rPr>
        <w:t>el-Ghazal</w:t>
      </w:r>
      <w:proofErr w:type="spellEnd"/>
      <w:r>
        <w:rPr>
          <w:rFonts w:ascii="Arial" w:hAnsi="Arial" w:cs="Arial"/>
        </w:rPr>
        <w:t xml:space="preserve"> statt. Berichten zufolge gingen die Angriffe von den SAF aus.</w:t>
      </w:r>
    </w:p>
    <w:p w:rsidR="004C0FB9" w:rsidRDefault="004C0FB9" w:rsidP="004C0FB9">
      <w:pPr>
        <w:spacing w:line="240" w:lineRule="auto"/>
        <w:rPr>
          <w:rFonts w:ascii="Arial" w:hAnsi="Arial" w:cs="Arial"/>
          <w:u w:val="single"/>
        </w:rPr>
      </w:pPr>
      <w:r>
        <w:rPr>
          <w:rFonts w:ascii="Arial" w:hAnsi="Arial" w:cs="Arial"/>
          <w:u w:val="single"/>
        </w:rPr>
        <w:t>Gewalt zwischen ethnischen Gruppen</w:t>
      </w:r>
    </w:p>
    <w:p w:rsidR="004C0FB9" w:rsidRDefault="004C0FB9" w:rsidP="004C0FB9">
      <w:pPr>
        <w:spacing w:line="240" w:lineRule="auto"/>
        <w:rPr>
          <w:rFonts w:ascii="Arial" w:hAnsi="Arial" w:cs="Arial"/>
        </w:rPr>
      </w:pPr>
      <w:r>
        <w:rPr>
          <w:rFonts w:ascii="Arial" w:hAnsi="Arial" w:cs="Arial"/>
        </w:rPr>
        <w:t xml:space="preserve">Im Bundesstaat </w:t>
      </w:r>
      <w:proofErr w:type="spellStart"/>
      <w:r>
        <w:rPr>
          <w:rFonts w:ascii="Arial" w:hAnsi="Arial" w:cs="Arial"/>
        </w:rPr>
        <w:t>Jonglei</w:t>
      </w:r>
      <w:proofErr w:type="spellEnd"/>
      <w:r>
        <w:rPr>
          <w:rFonts w:ascii="Arial" w:hAnsi="Arial" w:cs="Arial"/>
        </w:rPr>
        <w:t xml:space="preserve"> kam es weiterhin zu bewaffneten Auseinandersetzungen, und zwar hauptsächlich zwischen den beiden Volksgruppen der Lou </w:t>
      </w:r>
      <w:proofErr w:type="spellStart"/>
      <w:r>
        <w:rPr>
          <w:rFonts w:ascii="Arial" w:hAnsi="Arial" w:cs="Arial"/>
        </w:rPr>
        <w:t>Nuer</w:t>
      </w:r>
      <w:proofErr w:type="spellEnd"/>
      <w:r>
        <w:rPr>
          <w:rFonts w:ascii="Arial" w:hAnsi="Arial" w:cs="Arial"/>
        </w:rPr>
        <w:t xml:space="preserve"> und der </w:t>
      </w:r>
      <w:proofErr w:type="spellStart"/>
      <w:r>
        <w:rPr>
          <w:rFonts w:ascii="Arial" w:hAnsi="Arial" w:cs="Arial"/>
        </w:rPr>
        <w:t>Murle</w:t>
      </w:r>
      <w:proofErr w:type="spellEnd"/>
      <w:r>
        <w:rPr>
          <w:rFonts w:ascii="Arial" w:hAnsi="Arial" w:cs="Arial"/>
        </w:rPr>
        <w:t xml:space="preserve">. Nach Schätzungen der UN wurden zwischen dem 23. Dezember 2011 und Februar 2012 insgesamt 888 Menschen getötet und im Zeitraum von Ende Dezember 2011 bis April 2012 über 170000 Personen vertrieben. Es kam zu Entführungen von Frauen und Kindern, Plünderungen von Eigentum und Diebstählen großer Viehbestände. Verlautbarungen zufolge gab es am 22. August im Verwaltungsbezirk </w:t>
      </w:r>
      <w:proofErr w:type="spellStart"/>
      <w:r>
        <w:rPr>
          <w:rFonts w:ascii="Arial" w:hAnsi="Arial" w:cs="Arial"/>
        </w:rPr>
        <w:t>Pibor</w:t>
      </w:r>
      <w:proofErr w:type="spellEnd"/>
      <w:r>
        <w:rPr>
          <w:rFonts w:ascii="Arial" w:hAnsi="Arial" w:cs="Arial"/>
        </w:rPr>
        <w:t xml:space="preserve"> (</w:t>
      </w:r>
      <w:proofErr w:type="spellStart"/>
      <w:r>
        <w:rPr>
          <w:rFonts w:ascii="Arial" w:hAnsi="Arial" w:cs="Arial"/>
        </w:rPr>
        <w:t>Pibor</w:t>
      </w:r>
      <w:proofErr w:type="spellEnd"/>
      <w:r>
        <w:rPr>
          <w:rFonts w:ascii="Arial" w:hAnsi="Arial" w:cs="Arial"/>
        </w:rPr>
        <w:t xml:space="preserve"> County) bewaffnete Zusammenstöße zwischen den SPLA und einer unter dem Kommando des ehemaligen SPLA-Generals David </w:t>
      </w:r>
      <w:proofErr w:type="spellStart"/>
      <w:r>
        <w:rPr>
          <w:rFonts w:ascii="Arial" w:hAnsi="Arial" w:cs="Arial"/>
        </w:rPr>
        <w:t>Yau</w:t>
      </w:r>
      <w:proofErr w:type="spellEnd"/>
      <w:r>
        <w:rPr>
          <w:rFonts w:ascii="Arial" w:hAnsi="Arial" w:cs="Arial"/>
        </w:rPr>
        <w:t xml:space="preserve"> </w:t>
      </w:r>
      <w:proofErr w:type="spellStart"/>
      <w:r>
        <w:rPr>
          <w:rFonts w:ascii="Arial" w:hAnsi="Arial" w:cs="Arial"/>
        </w:rPr>
        <w:t>Yau</w:t>
      </w:r>
      <w:proofErr w:type="spellEnd"/>
      <w:r>
        <w:rPr>
          <w:rFonts w:ascii="Arial" w:hAnsi="Arial" w:cs="Arial"/>
        </w:rPr>
        <w:t xml:space="preserve"> stehenden Miliz. Am 27. August wurden bei einem Überfall, für den nach vorliegenden Informationen die gleiche Gruppierung verantwortlich war, mindestens 24 Soldaten getötet. Wegen der Gefahr, dass die Miliz von David </w:t>
      </w:r>
      <w:proofErr w:type="spellStart"/>
      <w:r>
        <w:rPr>
          <w:rFonts w:ascii="Arial" w:hAnsi="Arial" w:cs="Arial"/>
        </w:rPr>
        <w:t>Yau</w:t>
      </w:r>
      <w:proofErr w:type="spellEnd"/>
      <w:r>
        <w:rPr>
          <w:rFonts w:ascii="Arial" w:hAnsi="Arial" w:cs="Arial"/>
        </w:rPr>
        <w:t xml:space="preserve"> </w:t>
      </w:r>
      <w:proofErr w:type="spellStart"/>
      <w:r>
        <w:rPr>
          <w:rFonts w:ascii="Arial" w:hAnsi="Arial" w:cs="Arial"/>
        </w:rPr>
        <w:t>Yau</w:t>
      </w:r>
      <w:proofErr w:type="spellEnd"/>
      <w:r>
        <w:rPr>
          <w:rFonts w:ascii="Arial" w:hAnsi="Arial" w:cs="Arial"/>
        </w:rPr>
        <w:t xml:space="preserve"> weitere Angriffe durchführen könnte, entsandte die SPLA zusätzliche Truppen, und UNMISS setzte zusätzliche Blauhelmsoldaten im Verwaltungsbezirk </w:t>
      </w:r>
      <w:proofErr w:type="spellStart"/>
      <w:r>
        <w:rPr>
          <w:rFonts w:ascii="Arial" w:hAnsi="Arial" w:cs="Arial"/>
        </w:rPr>
        <w:t>Pibor</w:t>
      </w:r>
      <w:proofErr w:type="spellEnd"/>
      <w:r>
        <w:rPr>
          <w:rFonts w:ascii="Arial" w:hAnsi="Arial" w:cs="Arial"/>
        </w:rPr>
        <w:t xml:space="preserve"> ein. Im August und September wurden zwei der drei Kliniken der humanitären Hilfsorganisation Ärzte ohne Grenzen geplündert, wodurch die Bevölkerung im Verwaltungsbezirk </w:t>
      </w:r>
      <w:proofErr w:type="spellStart"/>
      <w:r>
        <w:rPr>
          <w:rFonts w:ascii="Arial" w:hAnsi="Arial" w:cs="Arial"/>
        </w:rPr>
        <w:t>Pibor</w:t>
      </w:r>
      <w:proofErr w:type="spellEnd"/>
      <w:r>
        <w:rPr>
          <w:rFonts w:ascii="Arial" w:hAnsi="Arial" w:cs="Arial"/>
        </w:rPr>
        <w:t xml:space="preserve"> keinen Zugang mehr zur Gesundheitsversorgung hatte. […]</w:t>
      </w:r>
    </w:p>
    <w:p w:rsidR="004C0FB9" w:rsidRDefault="004C0FB9" w:rsidP="004C0FB9">
      <w:pPr>
        <w:spacing w:line="240" w:lineRule="auto"/>
        <w:rPr>
          <w:rFonts w:ascii="Arial" w:hAnsi="Arial" w:cs="Arial"/>
          <w:u w:val="single"/>
        </w:rPr>
      </w:pPr>
      <w:r>
        <w:rPr>
          <w:rFonts w:ascii="Arial" w:hAnsi="Arial" w:cs="Arial"/>
          <w:u w:val="single"/>
        </w:rPr>
        <w:t>Recht auf freie Meinungsäußerung</w:t>
      </w:r>
    </w:p>
    <w:p w:rsidR="004C0FB9" w:rsidRDefault="004C0FB9" w:rsidP="004C0FB9">
      <w:pPr>
        <w:spacing w:line="240" w:lineRule="auto"/>
        <w:rPr>
          <w:rFonts w:ascii="Arial" w:hAnsi="Arial" w:cs="Arial"/>
        </w:rPr>
      </w:pPr>
      <w:r>
        <w:rPr>
          <w:rFonts w:ascii="Arial" w:hAnsi="Arial" w:cs="Arial"/>
        </w:rPr>
        <w:t>Das Arbeitsklima für Medienschaffende aus dem In- und Ausland blieb schwierig. Sicherheitskräfte schikanierten Mitarbeiter nationaler wie auch internationaler Medien, nahmen willkürlich Journalisten und Rundfunkmoderatoren fest und konfiszierten deren Ausrüstung. Die Behörden drohten auch damit, als regierungskritisch bewertete Radiosendungen zu verbieten, und der einzigen Tageszeitung Südsudans wurden Hindernisse in den Weg gelegt, die ihr tägliches Erscheinen erschwerten. […]</w:t>
      </w:r>
    </w:p>
    <w:p w:rsidR="004C0FB9" w:rsidRDefault="004C0FB9" w:rsidP="004C0FB9">
      <w:pPr>
        <w:spacing w:line="240" w:lineRule="auto"/>
        <w:rPr>
          <w:rFonts w:ascii="Arial" w:hAnsi="Arial" w:cs="Arial"/>
          <w:u w:val="single"/>
        </w:rPr>
      </w:pPr>
      <w:r>
        <w:rPr>
          <w:rFonts w:ascii="Arial" w:hAnsi="Arial" w:cs="Arial"/>
          <w:u w:val="single"/>
        </w:rPr>
        <w:t>Folter und andere Misshandlungen</w:t>
      </w:r>
    </w:p>
    <w:p w:rsidR="004C0FB9" w:rsidRDefault="004C0FB9" w:rsidP="004C0FB9">
      <w:pPr>
        <w:spacing w:line="240" w:lineRule="auto"/>
        <w:rPr>
          <w:rFonts w:ascii="Arial" w:hAnsi="Arial" w:cs="Arial"/>
        </w:rPr>
      </w:pPr>
      <w:r>
        <w:rPr>
          <w:rFonts w:ascii="Arial" w:hAnsi="Arial" w:cs="Arial"/>
        </w:rPr>
        <w:t xml:space="preserve">Sicherheitskräfte, unter ihnen die SPLA, der südsudanesische Geheimdienst (National Security Service - NSS) und SSPS, waren für Schikanen, Festnahmen, Folterungen und anderweitige Misshandlungen von Personen verantwortlich. Davon betroffen waren auch UN- und NGO-Beschäftigte. Auch die Angriffe auf ostafrikanische Arbeiter nahmen in </w:t>
      </w:r>
      <w:proofErr w:type="spellStart"/>
      <w:r>
        <w:rPr>
          <w:rFonts w:ascii="Arial" w:hAnsi="Arial" w:cs="Arial"/>
        </w:rPr>
        <w:t>Südsudan</w:t>
      </w:r>
      <w:proofErr w:type="spellEnd"/>
      <w:r>
        <w:rPr>
          <w:rFonts w:ascii="Arial" w:hAnsi="Arial" w:cs="Arial"/>
        </w:rPr>
        <w:t xml:space="preserve"> zu. […]</w:t>
      </w:r>
    </w:p>
    <w:p w:rsidR="00492525" w:rsidRDefault="00492525" w:rsidP="004C0FB9">
      <w:pPr>
        <w:spacing w:line="240" w:lineRule="auto"/>
        <w:rPr>
          <w:rFonts w:ascii="Arial" w:hAnsi="Arial" w:cs="Arial"/>
          <w:u w:val="single"/>
        </w:rPr>
      </w:pPr>
    </w:p>
    <w:p w:rsidR="004C0FB9" w:rsidRDefault="004C0FB9" w:rsidP="004C0FB9">
      <w:pPr>
        <w:spacing w:line="240" w:lineRule="auto"/>
        <w:rPr>
          <w:rFonts w:ascii="Arial" w:hAnsi="Arial" w:cs="Arial"/>
          <w:u w:val="single"/>
        </w:rPr>
      </w:pPr>
      <w:r>
        <w:rPr>
          <w:rFonts w:ascii="Arial" w:hAnsi="Arial" w:cs="Arial"/>
          <w:u w:val="single"/>
        </w:rPr>
        <w:lastRenderedPageBreak/>
        <w:t>Politische Gefangene</w:t>
      </w:r>
    </w:p>
    <w:p w:rsidR="004C0FB9" w:rsidRDefault="004C0FB9" w:rsidP="004C0FB9">
      <w:pPr>
        <w:spacing w:line="240" w:lineRule="auto"/>
        <w:rPr>
          <w:rFonts w:ascii="Arial" w:hAnsi="Arial" w:cs="Arial"/>
        </w:rPr>
      </w:pPr>
      <w:r>
        <w:rPr>
          <w:rFonts w:ascii="Arial" w:hAnsi="Arial" w:cs="Arial"/>
        </w:rPr>
        <w:t>Angehörige bewaffneter Oppositionsgruppen blieben ohne Zugang zu Rechtsbeiständen in Haft. […]</w:t>
      </w:r>
    </w:p>
    <w:p w:rsidR="004C0FB9" w:rsidRDefault="004C0FB9" w:rsidP="004C0FB9">
      <w:pPr>
        <w:spacing w:line="240" w:lineRule="auto"/>
        <w:rPr>
          <w:rFonts w:ascii="Arial" w:hAnsi="Arial" w:cs="Arial"/>
          <w:u w:val="single"/>
        </w:rPr>
      </w:pPr>
      <w:r>
        <w:rPr>
          <w:rFonts w:ascii="Arial" w:hAnsi="Arial" w:cs="Arial"/>
          <w:u w:val="single"/>
        </w:rPr>
        <w:t>Flüchtlinge und Binnenvertriebene</w:t>
      </w:r>
    </w:p>
    <w:p w:rsidR="004C0FB9" w:rsidRDefault="004C0FB9" w:rsidP="004C0FB9">
      <w:pPr>
        <w:spacing w:line="240" w:lineRule="auto"/>
        <w:rPr>
          <w:rFonts w:ascii="Arial" w:hAnsi="Arial" w:cs="Arial"/>
        </w:rPr>
      </w:pPr>
      <w:r>
        <w:rPr>
          <w:rFonts w:ascii="Arial" w:hAnsi="Arial" w:cs="Arial"/>
        </w:rPr>
        <w:t xml:space="preserve">[…]Wegen des Ausbruchs eines bewaffneten Konflikts zwischen den Sudanesischen Streitkräften (Sudan </w:t>
      </w:r>
      <w:proofErr w:type="spellStart"/>
      <w:r>
        <w:rPr>
          <w:rFonts w:ascii="Arial" w:hAnsi="Arial" w:cs="Arial"/>
        </w:rPr>
        <w:t>Armed</w:t>
      </w:r>
      <w:proofErr w:type="spellEnd"/>
      <w:r>
        <w:rPr>
          <w:rFonts w:ascii="Arial" w:hAnsi="Arial" w:cs="Arial"/>
        </w:rPr>
        <w:t xml:space="preserve"> Forces - SAF) und der bewaffneten oppositionellen Gruppe Sudan </w:t>
      </w:r>
      <w:proofErr w:type="spellStart"/>
      <w:r>
        <w:rPr>
          <w:rFonts w:ascii="Arial" w:hAnsi="Arial" w:cs="Arial"/>
        </w:rPr>
        <w:t>People's</w:t>
      </w:r>
      <w:proofErr w:type="spellEnd"/>
      <w:r>
        <w:rPr>
          <w:rFonts w:ascii="Arial" w:hAnsi="Arial" w:cs="Arial"/>
        </w:rPr>
        <w:t xml:space="preserve"> Liberation Movement-North (SPLM-N) flüchteten Einwohner aus den sudanesischen Bundesstaaten </w:t>
      </w:r>
      <w:proofErr w:type="spellStart"/>
      <w:r>
        <w:rPr>
          <w:rFonts w:ascii="Arial" w:hAnsi="Arial" w:cs="Arial"/>
        </w:rPr>
        <w:t>Südkordofan</w:t>
      </w:r>
      <w:proofErr w:type="spellEnd"/>
      <w:r>
        <w:rPr>
          <w:rFonts w:ascii="Arial" w:hAnsi="Arial" w:cs="Arial"/>
        </w:rPr>
        <w:t xml:space="preserve"> und Blue </w:t>
      </w:r>
      <w:proofErr w:type="spellStart"/>
      <w:r>
        <w:rPr>
          <w:rFonts w:ascii="Arial" w:hAnsi="Arial" w:cs="Arial"/>
        </w:rPr>
        <w:t>Nile</w:t>
      </w:r>
      <w:proofErr w:type="spellEnd"/>
      <w:r>
        <w:rPr>
          <w:rFonts w:ascii="Arial" w:hAnsi="Arial" w:cs="Arial"/>
        </w:rPr>
        <w:t xml:space="preserve"> weiterhin nach </w:t>
      </w:r>
      <w:proofErr w:type="spellStart"/>
      <w:r>
        <w:rPr>
          <w:rFonts w:ascii="Arial" w:hAnsi="Arial" w:cs="Arial"/>
        </w:rPr>
        <w:t>Südsudan</w:t>
      </w:r>
      <w:proofErr w:type="spellEnd"/>
      <w:r>
        <w:rPr>
          <w:rFonts w:ascii="Arial" w:hAnsi="Arial" w:cs="Arial"/>
        </w:rPr>
        <w:t xml:space="preserve">. Wegen zunehmender Kampfhandlungen und aufgrund von Nahrungsmittelmangel in den vom Konflikt betroffenen Gebieten wuchs die Zahl der Flüchtlinge aus den Bundesstaaten </w:t>
      </w:r>
      <w:proofErr w:type="spellStart"/>
      <w:r>
        <w:rPr>
          <w:rFonts w:ascii="Arial" w:hAnsi="Arial" w:cs="Arial"/>
        </w:rPr>
        <w:t>Upper</w:t>
      </w:r>
      <w:proofErr w:type="spellEnd"/>
      <w:r>
        <w:rPr>
          <w:rFonts w:ascii="Arial" w:hAnsi="Arial" w:cs="Arial"/>
        </w:rPr>
        <w:t xml:space="preserve"> </w:t>
      </w:r>
      <w:proofErr w:type="spellStart"/>
      <w:r>
        <w:rPr>
          <w:rFonts w:ascii="Arial" w:hAnsi="Arial" w:cs="Arial"/>
        </w:rPr>
        <w:t>Nile</w:t>
      </w:r>
      <w:proofErr w:type="spellEnd"/>
      <w:r>
        <w:rPr>
          <w:rFonts w:ascii="Arial" w:hAnsi="Arial" w:cs="Arial"/>
        </w:rPr>
        <w:t xml:space="preserve"> und </w:t>
      </w:r>
      <w:proofErr w:type="spellStart"/>
      <w:r>
        <w:rPr>
          <w:rFonts w:ascii="Arial" w:hAnsi="Arial" w:cs="Arial"/>
        </w:rPr>
        <w:t>Unity</w:t>
      </w:r>
      <w:proofErr w:type="spellEnd"/>
      <w:r>
        <w:rPr>
          <w:rFonts w:ascii="Arial" w:hAnsi="Arial" w:cs="Arial"/>
        </w:rPr>
        <w:t xml:space="preserve"> zwischen April und Juni 2012 um über 50000 an. Mit Beginn der Trockenzeit ab November begann ein weiterer Zustrom von Flüchtlingen. Bis zum Jahresende hatten über 180000 Menschen in </w:t>
      </w:r>
      <w:proofErr w:type="spellStart"/>
      <w:r>
        <w:rPr>
          <w:rFonts w:ascii="Arial" w:hAnsi="Arial" w:cs="Arial"/>
        </w:rPr>
        <w:t>Südsudan</w:t>
      </w:r>
      <w:proofErr w:type="spellEnd"/>
      <w:r>
        <w:rPr>
          <w:rFonts w:ascii="Arial" w:hAnsi="Arial" w:cs="Arial"/>
        </w:rPr>
        <w:t xml:space="preserve"> Zuflucht gesucht. […]</w:t>
      </w:r>
    </w:p>
    <w:p w:rsidR="004C0FB9" w:rsidRDefault="004C0FB9" w:rsidP="004C0FB9">
      <w:pPr>
        <w:spacing w:line="240" w:lineRule="auto"/>
        <w:rPr>
          <w:rFonts w:ascii="Arial" w:hAnsi="Arial" w:cs="Arial"/>
          <w:u w:val="single"/>
        </w:rPr>
      </w:pPr>
      <w:r>
        <w:rPr>
          <w:rFonts w:ascii="Arial" w:hAnsi="Arial" w:cs="Arial"/>
          <w:u w:val="single"/>
        </w:rPr>
        <w:t>Todesstrafe</w:t>
      </w:r>
    </w:p>
    <w:p w:rsidR="004C0FB9" w:rsidRDefault="004C0FB9" w:rsidP="004C0FB9">
      <w:pPr>
        <w:spacing w:line="240" w:lineRule="auto"/>
        <w:rPr>
          <w:rFonts w:ascii="Arial" w:hAnsi="Arial" w:cs="Arial"/>
        </w:rPr>
      </w:pPr>
      <w:r>
        <w:rPr>
          <w:rFonts w:ascii="Arial" w:hAnsi="Arial" w:cs="Arial"/>
        </w:rPr>
        <w:t xml:space="preserve">Mehr als 200 Gefangene befanden sich 2012 in Todeszellen. Mindestens zwei Männer wurden am 28. August im Gefängnis von </w:t>
      </w:r>
      <w:proofErr w:type="spellStart"/>
      <w:r>
        <w:rPr>
          <w:rFonts w:ascii="Arial" w:hAnsi="Arial" w:cs="Arial"/>
        </w:rPr>
        <w:t>Juba</w:t>
      </w:r>
      <w:proofErr w:type="spellEnd"/>
      <w:r>
        <w:rPr>
          <w:rFonts w:ascii="Arial" w:hAnsi="Arial" w:cs="Arial"/>
        </w:rPr>
        <w:t xml:space="preserve"> und drei Männer am 6. September im Gefängnis von Wau hingerichtet.</w:t>
      </w:r>
    </w:p>
    <w:p w:rsidR="004C0FB9" w:rsidRDefault="004C0FB9" w:rsidP="004C0FB9">
      <w:pPr>
        <w:jc w:val="right"/>
        <w:rPr>
          <w:rFonts w:ascii="Arial" w:hAnsi="Arial" w:cs="Arial"/>
          <w:sz w:val="16"/>
          <w:szCs w:val="16"/>
        </w:rPr>
      </w:pPr>
      <w:r w:rsidRPr="00E36138">
        <w:rPr>
          <w:rFonts w:ascii="Arial" w:hAnsi="Arial" w:cs="Arial"/>
          <w:sz w:val="16"/>
          <w:szCs w:val="16"/>
        </w:rPr>
        <w:t>Quelle:</w:t>
      </w:r>
      <w:r>
        <w:rPr>
          <w:rFonts w:ascii="Arial" w:hAnsi="Arial" w:cs="Arial"/>
          <w:sz w:val="16"/>
          <w:szCs w:val="16"/>
        </w:rPr>
        <w:t xml:space="preserve"> Amnesty International (2013) </w:t>
      </w:r>
      <w:proofErr w:type="spellStart"/>
      <w:r>
        <w:rPr>
          <w:rFonts w:ascii="Arial" w:hAnsi="Arial" w:cs="Arial"/>
          <w:sz w:val="16"/>
          <w:szCs w:val="16"/>
        </w:rPr>
        <w:t>Südsudan</w:t>
      </w:r>
      <w:proofErr w:type="spellEnd"/>
      <w:r>
        <w:rPr>
          <w:rFonts w:ascii="Arial" w:hAnsi="Arial" w:cs="Arial"/>
          <w:sz w:val="16"/>
          <w:szCs w:val="16"/>
        </w:rPr>
        <w:t>; [Online]. Verfügbar unter: http://www.amnesty.de/jahresbericht/2013/suedsudan [29.04.2014]</w:t>
      </w:r>
    </w:p>
    <w:p w:rsidR="00492525" w:rsidRDefault="00492525">
      <w:pPr>
        <w:rPr>
          <w:rFonts w:ascii="Arial" w:hAnsi="Arial" w:cs="Arial"/>
          <w:b/>
          <w:u w:val="single"/>
        </w:rPr>
      </w:pPr>
      <w:r>
        <w:rPr>
          <w:rFonts w:ascii="Arial" w:hAnsi="Arial" w:cs="Arial"/>
          <w:b/>
          <w:u w:val="single"/>
        </w:rPr>
        <w:br w:type="page"/>
      </w:r>
    </w:p>
    <w:p w:rsidR="004C0FB9" w:rsidRDefault="004C0FB9" w:rsidP="004C0FB9">
      <w:pPr>
        <w:spacing w:line="240" w:lineRule="auto"/>
        <w:rPr>
          <w:rFonts w:ascii="Arial" w:hAnsi="Arial" w:cs="Arial"/>
          <w:b/>
          <w:u w:val="single"/>
        </w:rPr>
      </w:pPr>
      <w:r>
        <w:rPr>
          <w:rFonts w:ascii="Arial" w:hAnsi="Arial" w:cs="Arial"/>
          <w:b/>
          <w:u w:val="single"/>
        </w:rPr>
        <w:lastRenderedPageBreak/>
        <w:t>Aufgaben:</w:t>
      </w:r>
    </w:p>
    <w:p w:rsidR="004C0FB9" w:rsidRPr="007564FC" w:rsidRDefault="004C0FB9" w:rsidP="004C0FB9">
      <w:pPr>
        <w:numPr>
          <w:ilvl w:val="0"/>
          <w:numId w:val="4"/>
        </w:numPr>
        <w:spacing w:line="240" w:lineRule="auto"/>
        <w:rPr>
          <w:rFonts w:ascii="Arial" w:hAnsi="Arial" w:cs="Arial"/>
        </w:rPr>
      </w:pPr>
      <w:r w:rsidRPr="007564FC">
        <w:rPr>
          <w:rFonts w:ascii="Arial" w:hAnsi="Arial" w:cs="Arial"/>
        </w:rPr>
        <w:t xml:space="preserve">Informieren Sie sich allgemein über Menschenrechte. Was meint der Begriff „Menschenrechte“ und welchen Zweck verfolgt die Einigung auf eine Menschenrechtscharta, die inzwischen von 193 Ländern unterschrieben ist? </w:t>
      </w:r>
    </w:p>
    <w:p w:rsidR="004C0FB9" w:rsidRPr="007564FC" w:rsidRDefault="004C0FB9" w:rsidP="004C0FB9">
      <w:pPr>
        <w:numPr>
          <w:ilvl w:val="0"/>
          <w:numId w:val="4"/>
        </w:numPr>
        <w:spacing w:line="240" w:lineRule="auto"/>
        <w:rPr>
          <w:rFonts w:ascii="Arial" w:hAnsi="Arial" w:cs="Arial"/>
        </w:rPr>
      </w:pPr>
      <w:r w:rsidRPr="007564FC">
        <w:rPr>
          <w:rFonts w:ascii="Arial" w:hAnsi="Arial" w:cs="Arial"/>
        </w:rPr>
        <w:t>Wie verhält sich Europa zu diesem Thema? (</w:t>
      </w:r>
      <w:hyperlink r:id="rId19" w:history="1">
        <w:r w:rsidRPr="007564FC">
          <w:rPr>
            <w:rStyle w:val="Hyperlink"/>
            <w:rFonts w:ascii="Arial" w:hAnsi="Arial" w:cs="Arial"/>
          </w:rPr>
          <w:t>http://www.amnesty.de/umleitung/1899/deu07/001</w:t>
        </w:r>
      </w:hyperlink>
      <w:r w:rsidRPr="007564FC">
        <w:rPr>
          <w:rFonts w:ascii="Arial" w:hAnsi="Arial" w:cs="Arial"/>
        </w:rPr>
        <w:t xml:space="preserve">; </w:t>
      </w:r>
      <w:hyperlink r:id="rId20" w:history="1">
        <w:r w:rsidRPr="007564FC">
          <w:rPr>
            <w:rStyle w:val="Hyperlink"/>
            <w:rFonts w:ascii="Arial" w:hAnsi="Arial" w:cs="Arial"/>
          </w:rPr>
          <w:t>http://www.bpb.de/internationales/weltweit/menschenrechte/38769/europa?p=all</w:t>
        </w:r>
      </w:hyperlink>
      <w:r w:rsidRPr="007564FC">
        <w:rPr>
          <w:rFonts w:ascii="Arial" w:hAnsi="Arial" w:cs="Arial"/>
        </w:rPr>
        <w:t>)</w:t>
      </w:r>
    </w:p>
    <w:p w:rsidR="00492525" w:rsidRDefault="004C0FB9" w:rsidP="00492525">
      <w:pPr>
        <w:numPr>
          <w:ilvl w:val="0"/>
          <w:numId w:val="4"/>
        </w:numPr>
        <w:spacing w:line="240" w:lineRule="auto"/>
        <w:rPr>
          <w:rFonts w:ascii="Arial" w:hAnsi="Arial" w:cs="Arial"/>
        </w:rPr>
      </w:pPr>
      <w:r w:rsidRPr="007564FC">
        <w:rPr>
          <w:rFonts w:ascii="Arial" w:hAnsi="Arial" w:cs="Arial"/>
        </w:rPr>
        <w:t xml:space="preserve">Stellen Sie die Situation der Menschen in </w:t>
      </w:r>
      <w:proofErr w:type="spellStart"/>
      <w:r w:rsidRPr="007564FC">
        <w:rPr>
          <w:rFonts w:ascii="Arial" w:hAnsi="Arial" w:cs="Arial"/>
        </w:rPr>
        <w:t>Südsudan</w:t>
      </w:r>
      <w:proofErr w:type="spellEnd"/>
      <w:r w:rsidRPr="007564FC">
        <w:rPr>
          <w:rFonts w:ascii="Arial" w:hAnsi="Arial" w:cs="Arial"/>
        </w:rPr>
        <w:t xml:space="preserve"> in Bezug auf deren Menschenrechtssituation dar (</w:t>
      </w:r>
      <w:hyperlink r:id="rId21" w:history="1">
        <w:r w:rsidR="00492525" w:rsidRPr="00A3729E">
          <w:rPr>
            <w:rStyle w:val="Hyperlink"/>
            <w:rFonts w:ascii="Arial" w:hAnsi="Arial" w:cs="Arial"/>
          </w:rPr>
          <w:t>http://www.amnesty-sudan.de/mediawiki-1.15.1/index.php?title=S%C3%BCdsudan</w:t>
        </w:r>
      </w:hyperlink>
      <w:r w:rsidRPr="007564FC">
        <w:rPr>
          <w:rFonts w:ascii="Arial" w:hAnsi="Arial" w:cs="Arial"/>
        </w:rPr>
        <w:t>).</w:t>
      </w:r>
    </w:p>
    <w:p w:rsidR="00492525" w:rsidRPr="00492525" w:rsidRDefault="00492525" w:rsidP="00492525">
      <w:pPr>
        <w:numPr>
          <w:ilvl w:val="0"/>
          <w:numId w:val="4"/>
        </w:numPr>
        <w:spacing w:line="240" w:lineRule="auto"/>
        <w:rPr>
          <w:rFonts w:ascii="Arial" w:hAnsi="Arial" w:cs="Arial"/>
        </w:rPr>
      </w:pPr>
      <w:r w:rsidRPr="00492525">
        <w:rPr>
          <w:rFonts w:ascii="Arial" w:hAnsi="Arial" w:cs="Arial"/>
        </w:rPr>
        <w:t xml:space="preserve">Bereiten Sie anhand der folgenden Übersicht [M 5] die Präsentation in Ihrer Stammgruppe vor: </w:t>
      </w:r>
    </w:p>
    <w:p w:rsidR="00610C77" w:rsidRPr="008623D1" w:rsidRDefault="00492525" w:rsidP="008623D1">
      <w:r w:rsidRPr="00492525">
        <w:rPr>
          <w:rFonts w:ascii="Arial" w:hAnsi="Arial" w:cs="Arial"/>
          <w:noProof/>
          <w:lang w:eastAsia="de-DE"/>
        </w:rPr>
        <mc:AlternateContent>
          <mc:Choice Requires="wps">
            <w:drawing>
              <wp:anchor distT="0" distB="0" distL="114300" distR="114300" simplePos="0" relativeHeight="251663360" behindDoc="0" locked="0" layoutInCell="1" allowOverlap="1" wp14:anchorId="77F8CB72" wp14:editId="1EA1BBBE">
                <wp:simplePos x="0" y="0"/>
                <wp:positionH relativeFrom="column">
                  <wp:posOffset>360680</wp:posOffset>
                </wp:positionH>
                <wp:positionV relativeFrom="paragraph">
                  <wp:posOffset>54610</wp:posOffset>
                </wp:positionV>
                <wp:extent cx="5883910" cy="3124200"/>
                <wp:effectExtent l="0" t="0" r="21590" b="1905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124200"/>
                        </a:xfrm>
                        <a:prstGeom prst="rect">
                          <a:avLst/>
                        </a:prstGeom>
                        <a:solidFill>
                          <a:srgbClr val="FFFFFF"/>
                        </a:solidFill>
                        <a:ln w="9525">
                          <a:solidFill>
                            <a:srgbClr val="000000"/>
                          </a:solidFill>
                          <a:miter lim="800000"/>
                          <a:headEnd/>
                          <a:tailEnd/>
                        </a:ln>
                      </wps:spPr>
                      <wps:txbx>
                        <w:txbxContent>
                          <w:p w:rsidR="00492525" w:rsidRPr="002C51A2" w:rsidRDefault="00492525" w:rsidP="00492525">
                            <w:pPr>
                              <w:rPr>
                                <w:rFonts w:ascii="Arial" w:hAnsi="Arial" w:cs="Arial"/>
                                <w:b/>
                              </w:rPr>
                            </w:pPr>
                            <w:r w:rsidRPr="002C51A2">
                              <w:rPr>
                                <w:rFonts w:ascii="Arial" w:hAnsi="Arial" w:cs="Arial"/>
                                <w:b/>
                              </w:rPr>
                              <w:t>Zur Erarbeitung in der Expertengruppe: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Nutzen Sie die Hinweise</w:t>
                            </w:r>
                            <w:r w:rsidR="00E36138">
                              <w:rPr>
                                <w:rFonts w:ascii="Arial" w:hAnsi="Arial" w:cs="Arial"/>
                              </w:rPr>
                              <w:t>,</w:t>
                            </w:r>
                            <w:r w:rsidRPr="002C51A2">
                              <w:rPr>
                                <w:rFonts w:ascii="Arial" w:hAnsi="Arial" w:cs="Arial"/>
                              </w:rPr>
                              <w:t xml:space="preserve"> um erste Fragen zu klären. Worin bestehen die eigentlichen Probleme? </w:t>
                            </w:r>
                          </w:p>
                          <w:p w:rsidR="00492525" w:rsidRPr="002C51A2" w:rsidRDefault="00492525" w:rsidP="00492525">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w:t>
                            </w:r>
                            <w:bookmarkStart w:id="0" w:name="_GoBack"/>
                            <w:bookmarkEnd w:id="0"/>
                            <w:r w:rsidRPr="002C51A2">
                              <w:rPr>
                                <w:rFonts w:ascii="Arial" w:hAnsi="Arial" w:cs="Arial"/>
                              </w:rPr>
                              <w:t>ie die Botschaft des Verfassers  und seine Argumente.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E36138">
                              <w:rPr>
                                <w:rFonts w:ascii="Arial" w:hAnsi="Arial" w:cs="Arial"/>
                              </w:rPr>
                              <w:t xml:space="preserve"> auf der die Zusammenhänge und/</w:t>
                            </w:r>
                            <w:r w:rsidRPr="002C51A2">
                              <w:rPr>
                                <w:rFonts w:ascii="Arial" w:hAnsi="Arial" w:cs="Arial"/>
                              </w:rPr>
                              <w:t xml:space="preserve">oder Argumentationen deutlich werden.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Gestalten Sie für Ihre Stammgruppe eine Übersicht</w:t>
                            </w:r>
                            <w:r w:rsidR="00E36138">
                              <w:rPr>
                                <w:rFonts w:ascii="Arial" w:hAnsi="Arial" w:cs="Arial"/>
                              </w:rPr>
                              <w:t>,</w:t>
                            </w:r>
                            <w:r w:rsidRPr="002C51A2">
                              <w:rPr>
                                <w:rFonts w:ascii="Arial" w:hAnsi="Arial" w:cs="Arial"/>
                              </w:rPr>
                              <w:t xml:space="preserve"> um wesentliche Einsichten in ihrem Zusammenhang so zu vermitteln, dass die Teammitglieder sich diese merken können. </w:t>
                            </w:r>
                            <w:r w:rsidRPr="002C51A2">
                              <w:rPr>
                                <w:rFonts w:ascii="Arial" w:hAnsi="Arial" w:cs="Arial"/>
                              </w:rPr>
                              <w:t>Dies könnte eine Tabell</w:t>
                            </w:r>
                            <w:r w:rsidR="00E36138">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492525" w:rsidRDefault="00492525" w:rsidP="00492525">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7" o:spid="_x0000_s1029" type="#_x0000_t202" style="position:absolute;margin-left:28.4pt;margin-top:4.3pt;width:463.3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">
                <v:textbox>
                  <w:txbxContent>
                    <w:p w:rsidR="00492525" w:rsidRPr="002C51A2" w:rsidRDefault="00492525" w:rsidP="00492525">
                      <w:pPr>
                        <w:rPr>
                          <w:rFonts w:ascii="Arial" w:hAnsi="Arial" w:cs="Arial"/>
                          <w:b/>
                        </w:rPr>
                      </w:pPr>
                      <w:r w:rsidRPr="002C51A2">
                        <w:rPr>
                          <w:rFonts w:ascii="Arial" w:hAnsi="Arial" w:cs="Arial"/>
                          <w:b/>
                        </w:rPr>
                        <w:t>Zur Erarbeitung in der Expertengruppe: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Gewinnen Sie einen ersten Überblick anhand der Information für ihre Expertengruppe.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Nutzen Sie die Hinweise</w:t>
                      </w:r>
                      <w:r w:rsidR="00E36138">
                        <w:rPr>
                          <w:rFonts w:ascii="Arial" w:hAnsi="Arial" w:cs="Arial"/>
                        </w:rPr>
                        <w:t>,</w:t>
                      </w:r>
                      <w:r w:rsidRPr="002C51A2">
                        <w:rPr>
                          <w:rFonts w:ascii="Arial" w:hAnsi="Arial" w:cs="Arial"/>
                        </w:rPr>
                        <w:t xml:space="preserve"> um erste Fragen zu klären. Worin bestehen die eigentlichen Probleme? </w:t>
                      </w:r>
                    </w:p>
                    <w:p w:rsidR="00492525" w:rsidRPr="002C51A2" w:rsidRDefault="00492525" w:rsidP="00492525">
                      <w:pPr>
                        <w:pStyle w:val="Listenabsatz"/>
                        <w:numPr>
                          <w:ilvl w:val="0"/>
                          <w:numId w:val="3"/>
                        </w:numPr>
                        <w:rPr>
                          <w:rFonts w:ascii="Arial" w:hAnsi="Arial" w:cs="Arial"/>
                        </w:rPr>
                      </w:pPr>
                      <w:r>
                        <w:rPr>
                          <w:rFonts w:ascii="Arial" w:hAnsi="Arial" w:cs="Arial"/>
                        </w:rPr>
                        <w:t>Benennen</w:t>
                      </w:r>
                      <w:r w:rsidRPr="002C51A2">
                        <w:rPr>
                          <w:rFonts w:ascii="Arial" w:hAnsi="Arial" w:cs="Arial"/>
                        </w:rPr>
                        <w:t xml:space="preserve"> S</w:t>
                      </w:r>
                      <w:bookmarkStart w:id="1" w:name="_GoBack"/>
                      <w:bookmarkEnd w:id="1"/>
                      <w:r w:rsidRPr="002C51A2">
                        <w:rPr>
                          <w:rFonts w:ascii="Arial" w:hAnsi="Arial" w:cs="Arial"/>
                        </w:rPr>
                        <w:t>ie die Botschaft des Verfassers  und seine Argumente.</w:t>
                      </w:r>
                    </w:p>
                    <w:p w:rsidR="00492525" w:rsidRPr="002C51A2" w:rsidRDefault="00492525" w:rsidP="00492525">
                      <w:pPr>
                        <w:pStyle w:val="Listenabsatz"/>
                        <w:numPr>
                          <w:ilvl w:val="0"/>
                          <w:numId w:val="3"/>
                        </w:numPr>
                        <w:rPr>
                          <w:rFonts w:ascii="Arial" w:hAnsi="Arial" w:cs="Arial"/>
                        </w:rPr>
                      </w:pPr>
                      <w:r w:rsidRPr="002C51A2">
                        <w:rPr>
                          <w:rFonts w:ascii="Arial" w:hAnsi="Arial" w:cs="Arial"/>
                        </w:rPr>
                        <w:t xml:space="preserve">Recherchieren Sie auf dieser Grundlage, um weitere Informationen und Hinweise zu erhalten.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 xml:space="preserve">Halten Sie die Kerninformationen ebenso wie die Argumente und Beispiele stichwortartig fest.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Entwerfen Sie auf dieser Grundlage zunächst eine gemeinsame Übersicht</w:t>
                      </w:r>
                      <w:r>
                        <w:rPr>
                          <w:rFonts w:ascii="Arial" w:hAnsi="Arial" w:cs="Arial"/>
                        </w:rPr>
                        <w:t>,</w:t>
                      </w:r>
                      <w:r w:rsidR="00E36138">
                        <w:rPr>
                          <w:rFonts w:ascii="Arial" w:hAnsi="Arial" w:cs="Arial"/>
                        </w:rPr>
                        <w:t xml:space="preserve"> auf der die Zusammenhänge und/</w:t>
                      </w:r>
                      <w:r w:rsidRPr="002C51A2">
                        <w:rPr>
                          <w:rFonts w:ascii="Arial" w:hAnsi="Arial" w:cs="Arial"/>
                        </w:rPr>
                        <w:t xml:space="preserve">oder Argumentationen deutlich werden. </w:t>
                      </w:r>
                    </w:p>
                    <w:p w:rsidR="00492525" w:rsidRPr="002C51A2" w:rsidRDefault="00492525" w:rsidP="00492525">
                      <w:pPr>
                        <w:pStyle w:val="Listenabsatz"/>
                        <w:numPr>
                          <w:ilvl w:val="0"/>
                          <w:numId w:val="3"/>
                        </w:numPr>
                        <w:rPr>
                          <w:rFonts w:ascii="Arial" w:hAnsi="Arial" w:cs="Arial"/>
                        </w:rPr>
                      </w:pPr>
                      <w:r w:rsidRPr="002C51A2">
                        <w:rPr>
                          <w:rFonts w:ascii="Arial" w:hAnsi="Arial" w:cs="Arial"/>
                        </w:rPr>
                        <w:t>Gestalten Sie für Ihre Stammgruppe eine Übersicht</w:t>
                      </w:r>
                      <w:r w:rsidR="00E36138">
                        <w:rPr>
                          <w:rFonts w:ascii="Arial" w:hAnsi="Arial" w:cs="Arial"/>
                        </w:rPr>
                        <w:t>,</w:t>
                      </w:r>
                      <w:r w:rsidRPr="002C51A2">
                        <w:rPr>
                          <w:rFonts w:ascii="Arial" w:hAnsi="Arial" w:cs="Arial"/>
                        </w:rPr>
                        <w:t xml:space="preserve"> um wesentliche Einsichten in ihrem Zusammenhang so zu vermitteln, dass die Teammitglieder sich diese merken können. </w:t>
                      </w:r>
                      <w:r w:rsidRPr="002C51A2">
                        <w:rPr>
                          <w:rFonts w:ascii="Arial" w:hAnsi="Arial" w:cs="Arial"/>
                        </w:rPr>
                        <w:t>Dies könnte eine Tabell</w:t>
                      </w:r>
                      <w:r w:rsidR="00E36138">
                        <w:rPr>
                          <w:rFonts w:ascii="Arial" w:hAnsi="Arial" w:cs="Arial"/>
                        </w:rPr>
                        <w:t>e, eine Lernlandkarte oder ein M</w:t>
                      </w:r>
                      <w:r w:rsidRPr="002C51A2">
                        <w:rPr>
                          <w:rFonts w:ascii="Arial" w:hAnsi="Arial" w:cs="Arial"/>
                        </w:rPr>
                        <w:t>indmap</w:t>
                      </w:r>
                      <w:r>
                        <w:rPr>
                          <w:rFonts w:ascii="Arial" w:hAnsi="Arial" w:cs="Arial"/>
                        </w:rPr>
                        <w:t xml:space="preserve"> sein</w:t>
                      </w:r>
                      <w:r w:rsidRPr="002C51A2">
                        <w:rPr>
                          <w:rFonts w:ascii="Arial" w:hAnsi="Arial" w:cs="Arial"/>
                        </w:rPr>
                        <w:t>!</w:t>
                      </w:r>
                    </w:p>
                    <w:p w:rsidR="00492525" w:rsidRDefault="00492525" w:rsidP="00492525">
                      <w:pPr>
                        <w:pStyle w:val="Listenabsatz"/>
                      </w:pPr>
                    </w:p>
                  </w:txbxContent>
                </v:textbox>
              </v:shape>
            </w:pict>
          </mc:Fallback>
        </mc:AlternateContent>
      </w:r>
    </w:p>
    <w:sectPr w:rsidR="00610C77" w:rsidRPr="008623D1" w:rsidSect="009C68E6">
      <w:headerReference w:type="default" r:id="rId22"/>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24" w:rsidRDefault="00AB0124" w:rsidP="0088634A">
      <w:pPr>
        <w:spacing w:after="0" w:line="240" w:lineRule="auto"/>
      </w:pPr>
      <w:r>
        <w:separator/>
      </w:r>
    </w:p>
  </w:endnote>
  <w:endnote w:type="continuationSeparator" w:id="0">
    <w:p w:rsidR="00AB0124" w:rsidRDefault="00AB0124" w:rsidP="0088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24" w:rsidRDefault="00AB0124" w:rsidP="0088634A">
      <w:pPr>
        <w:spacing w:after="0" w:line="240" w:lineRule="auto"/>
      </w:pPr>
      <w:r>
        <w:separator/>
      </w:r>
    </w:p>
  </w:footnote>
  <w:footnote w:type="continuationSeparator" w:id="0">
    <w:p w:rsidR="00AB0124" w:rsidRDefault="00AB0124" w:rsidP="00886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DB" w:rsidRPr="00E37C2F" w:rsidRDefault="00672BDB" w:rsidP="00672BDB">
    <w:pPr>
      <w:shd w:val="clear" w:color="auto" w:fill="D9D9D9"/>
      <w:spacing w:before="120" w:line="360" w:lineRule="auto"/>
      <w:ind w:right="-2"/>
      <w:jc w:val="center"/>
      <w:rPr>
        <w:rFonts w:ascii="Arial" w:hAnsi="Arial" w:cs="Arial"/>
        <w:b/>
        <w:sz w:val="28"/>
        <w:szCs w:val="28"/>
      </w:rPr>
    </w:pPr>
    <w:r w:rsidRPr="00E37C2F">
      <w:rPr>
        <w:rFonts w:ascii="Arial" w:hAnsi="Arial" w:cs="Arial"/>
        <w:noProof/>
        <w:color w:val="7F7F7F"/>
        <w:lang w:eastAsia="de-DE"/>
      </w:rPr>
      <w:drawing>
        <wp:anchor distT="0" distB="0" distL="114300" distR="114300" simplePos="0" relativeHeight="251659264" behindDoc="0" locked="0" layoutInCell="1" allowOverlap="1" wp14:anchorId="03AE6B8F" wp14:editId="5560ECB8">
          <wp:simplePos x="0" y="0"/>
          <wp:positionH relativeFrom="column">
            <wp:posOffset>4081145</wp:posOffset>
          </wp:positionH>
          <wp:positionV relativeFrom="paragraph">
            <wp:posOffset>-392430</wp:posOffset>
          </wp:positionV>
          <wp:extent cx="1314450" cy="996315"/>
          <wp:effectExtent l="57150" t="76200" r="38100" b="70485"/>
          <wp:wrapTopAndBottom/>
          <wp:docPr id="1" name="Grafik 1" descr="C:\Users\Hendrik Gößling\Desktop\Kr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k Gößling\Desktop\Kreis.jp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21215109">
                    <a:off x="0" y="0"/>
                    <a:ext cx="1314450" cy="996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C2F">
      <w:rPr>
        <w:rFonts w:ascii="Arial" w:hAnsi="Arial" w:cs="Arial"/>
        <w:b/>
        <w:sz w:val="28"/>
        <w:szCs w:val="28"/>
      </w:rPr>
      <w:t>(K)ein Platz für Asylsuchende</w:t>
    </w:r>
    <w:r w:rsidRPr="00E37C2F">
      <w:rPr>
        <w:rFonts w:ascii="Arial" w:hAnsi="Arial" w:cs="Arial"/>
        <w:b/>
        <w:sz w:val="28"/>
        <w:szCs w:val="28"/>
      </w:rPr>
      <w:tab/>
    </w:r>
    <w:r w:rsidRPr="00E37C2F">
      <w:rPr>
        <w:rFonts w:ascii="Arial" w:hAnsi="Arial" w:cs="Arial"/>
        <w:b/>
        <w:sz w:val="28"/>
        <w:szCs w:val="28"/>
      </w:rPr>
      <w:tab/>
    </w:r>
  </w:p>
  <w:p w:rsidR="00672BDB" w:rsidRDefault="00672BD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282"/>
    <w:multiLevelType w:val="hybridMultilevel"/>
    <w:tmpl w:val="B0F2D2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9CE64F7"/>
    <w:multiLevelType w:val="hybridMultilevel"/>
    <w:tmpl w:val="207C7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593219E"/>
    <w:multiLevelType w:val="hybridMultilevel"/>
    <w:tmpl w:val="C7B285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526A6ACA"/>
    <w:multiLevelType w:val="hybridMultilevel"/>
    <w:tmpl w:val="EC12F8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1F20F1"/>
    <w:multiLevelType w:val="hybridMultilevel"/>
    <w:tmpl w:val="B4F0DBE4"/>
    <w:lvl w:ilvl="0" w:tplc="4C608B94">
      <w:start w:val="1"/>
      <w:numFmt w:val="decimal"/>
      <w:lvlText w:val="%1."/>
      <w:lvlJc w:val="left"/>
      <w:pPr>
        <w:ind w:left="720" w:hanging="360"/>
      </w:pPr>
      <w:rPr>
        <w:rFonts w:ascii="Arial" w:eastAsia="Calibri" w:hAnsi="Arial" w:cs="Arial"/>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4A"/>
    <w:rsid w:val="00161C2C"/>
    <w:rsid w:val="002333D3"/>
    <w:rsid w:val="00233D17"/>
    <w:rsid w:val="002A3591"/>
    <w:rsid w:val="00343781"/>
    <w:rsid w:val="00492525"/>
    <w:rsid w:val="004C0FB9"/>
    <w:rsid w:val="00610C77"/>
    <w:rsid w:val="006626F4"/>
    <w:rsid w:val="00672BDB"/>
    <w:rsid w:val="006B5069"/>
    <w:rsid w:val="006D0BB7"/>
    <w:rsid w:val="008623D1"/>
    <w:rsid w:val="008762E1"/>
    <w:rsid w:val="00876B0B"/>
    <w:rsid w:val="0088634A"/>
    <w:rsid w:val="009C68E6"/>
    <w:rsid w:val="009D1AF0"/>
    <w:rsid w:val="00AB0124"/>
    <w:rsid w:val="00C14F78"/>
    <w:rsid w:val="00C411CB"/>
    <w:rsid w:val="00C94E12"/>
    <w:rsid w:val="00CB2A68"/>
    <w:rsid w:val="00CC5814"/>
    <w:rsid w:val="00E36138"/>
    <w:rsid w:val="00E65EDD"/>
    <w:rsid w:val="00E9053A"/>
    <w:rsid w:val="00F2014A"/>
    <w:rsid w:val="00FC5A97"/>
    <w:rsid w:val="00FE1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672B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2BDB"/>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672BDB"/>
    <w:rPr>
      <w:vertAlign w:val="superscript"/>
    </w:rPr>
  </w:style>
  <w:style w:type="paragraph" w:styleId="Beschriftung">
    <w:name w:val="caption"/>
    <w:basedOn w:val="Standard"/>
    <w:next w:val="Standard"/>
    <w:uiPriority w:val="35"/>
    <w:unhideWhenUsed/>
    <w:qFormat/>
    <w:rsid w:val="00E3613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34A"/>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88634A"/>
  </w:style>
  <w:style w:type="paragraph" w:styleId="Fuzeile">
    <w:name w:val="footer"/>
    <w:basedOn w:val="Standard"/>
    <w:link w:val="FuzeileZchn"/>
    <w:uiPriority w:val="99"/>
    <w:unhideWhenUsed/>
    <w:rsid w:val="0088634A"/>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88634A"/>
  </w:style>
  <w:style w:type="table" w:styleId="Tabellenraster">
    <w:name w:val="Table Grid"/>
    <w:basedOn w:val="NormaleTabelle"/>
    <w:uiPriority w:val="59"/>
    <w:rsid w:val="0088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333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33D3"/>
    <w:rPr>
      <w:rFonts w:ascii="Tahoma" w:eastAsia="Times New Roman" w:hAnsi="Tahoma" w:cs="Tahoma"/>
      <w:sz w:val="16"/>
      <w:szCs w:val="16"/>
    </w:rPr>
  </w:style>
  <w:style w:type="paragraph" w:styleId="KeinLeerraum">
    <w:name w:val="No Spacing"/>
    <w:uiPriority w:val="1"/>
    <w:qFormat/>
    <w:rsid w:val="00161C2C"/>
    <w:pPr>
      <w:spacing w:after="0" w:line="240" w:lineRule="auto"/>
    </w:pPr>
    <w:rPr>
      <w:rFonts w:ascii="Calibri" w:eastAsia="Times New Roman" w:hAnsi="Calibri" w:cs="Times New Roman"/>
    </w:rPr>
  </w:style>
  <w:style w:type="character" w:styleId="Hyperlink">
    <w:name w:val="Hyperlink"/>
    <w:basedOn w:val="Absatz-Standardschriftart"/>
    <w:uiPriority w:val="99"/>
    <w:unhideWhenUsed/>
    <w:rsid w:val="00161C2C"/>
    <w:rPr>
      <w:color w:val="0000FF" w:themeColor="hyperlink"/>
      <w:u w:val="single"/>
    </w:rPr>
  </w:style>
  <w:style w:type="paragraph" w:styleId="Listenabsatz">
    <w:name w:val="List Paragraph"/>
    <w:basedOn w:val="Standard"/>
    <w:uiPriority w:val="34"/>
    <w:qFormat/>
    <w:rsid w:val="00C94E12"/>
    <w:pPr>
      <w:ind w:left="720"/>
      <w:contextualSpacing/>
    </w:pPr>
  </w:style>
  <w:style w:type="paragraph" w:styleId="StandardWeb">
    <w:name w:val="Normal (Web)"/>
    <w:basedOn w:val="Standard"/>
    <w:uiPriority w:val="99"/>
    <w:semiHidden/>
    <w:unhideWhenUsed/>
    <w:rsid w:val="004C0FB9"/>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Funotentext">
    <w:name w:val="footnote text"/>
    <w:basedOn w:val="Standard"/>
    <w:link w:val="FunotentextZchn"/>
    <w:uiPriority w:val="99"/>
    <w:semiHidden/>
    <w:unhideWhenUsed/>
    <w:rsid w:val="00672B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72BDB"/>
    <w:rPr>
      <w:rFonts w:ascii="Calibri" w:eastAsia="Times New Roman" w:hAnsi="Calibri" w:cs="Times New Roman"/>
      <w:sz w:val="20"/>
      <w:szCs w:val="20"/>
    </w:rPr>
  </w:style>
  <w:style w:type="character" w:styleId="Funotenzeichen">
    <w:name w:val="footnote reference"/>
    <w:basedOn w:val="Absatz-Standardschriftart"/>
    <w:uiPriority w:val="99"/>
    <w:semiHidden/>
    <w:unhideWhenUsed/>
    <w:rsid w:val="00672BDB"/>
    <w:rPr>
      <w:vertAlign w:val="superscript"/>
    </w:rPr>
  </w:style>
  <w:style w:type="paragraph" w:styleId="Beschriftung">
    <w:name w:val="caption"/>
    <w:basedOn w:val="Standard"/>
    <w:next w:val="Standard"/>
    <w:uiPriority w:val="35"/>
    <w:unhideWhenUsed/>
    <w:qFormat/>
    <w:rsid w:val="00E3613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ons.wikimedia.org/wiki/South_Suda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amnesty-sudan.de/mediawiki-1.15.1/index.php?title=S%C3%BCdsudan" TargetMode="External"/><Relationship Id="rId7" Type="http://schemas.openxmlformats.org/officeDocument/2006/relationships/footnotes" Target="footnotes.xml"/><Relationship Id="rId12" Type="http://schemas.openxmlformats.org/officeDocument/2006/relationships/hyperlink" Target="http://creativecommons.org/licenses/by-sa/3.0/deed.en" TargetMode="External"/><Relationship Id="rId17" Type="http://schemas.openxmlformats.org/officeDocument/2006/relationships/hyperlink" Target="http://commons.wikimedia.org/wiki/South_Sudan" TargetMode="External"/><Relationship Id="rId2" Type="http://schemas.openxmlformats.org/officeDocument/2006/relationships/numbering" Target="numbering.xml"/><Relationship Id="rId16" Type="http://schemas.openxmlformats.org/officeDocument/2006/relationships/hyperlink" Target="http://creativecommons.org/licenses/by-sa/3.0/deed.en" TargetMode="External"/><Relationship Id="rId20" Type="http://schemas.openxmlformats.org/officeDocument/2006/relationships/hyperlink" Target="http://www.bpb.de/internationales/weltweit/menschenrechte/38769/europa?p=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sa/3.0/deed.en" TargetMode="External"/><Relationship Id="rId23" Type="http://schemas.openxmlformats.org/officeDocument/2006/relationships/fontTable" Target="fontTable.xml"/><Relationship Id="rId10" Type="http://schemas.openxmlformats.org/officeDocument/2006/relationships/hyperlink" Target="http://en.wikipedia.org/wiki/en:Creative_Commons" TargetMode="External"/><Relationship Id="rId19" Type="http://schemas.openxmlformats.org/officeDocument/2006/relationships/hyperlink" Target="http://www.amnesty.de/umleitung/1899/deu07/0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en:Creative_Common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C02D-DE5C-4884-B312-9670141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BBS Neustadt a. Rbge</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Sylke</dc:creator>
  <cp:lastModifiedBy>Hendrik Gößling</cp:lastModifiedBy>
  <cp:revision>3</cp:revision>
  <dcterms:created xsi:type="dcterms:W3CDTF">2014-06-10T20:17:00Z</dcterms:created>
  <dcterms:modified xsi:type="dcterms:W3CDTF">2014-07-08T12:49:00Z</dcterms:modified>
</cp:coreProperties>
</file>