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D1" w:rsidRPr="00EA70B3" w:rsidRDefault="00E51AD1" w:rsidP="00E51AD1">
      <w:pPr>
        <w:shd w:val="clear" w:color="auto" w:fill="D9D9D9"/>
        <w:rPr>
          <w:rFonts w:ascii="Arial" w:hAnsi="Arial" w:cs="Arial"/>
          <w:b/>
        </w:rPr>
      </w:pPr>
      <w:r w:rsidRPr="003A75FA">
        <w:rPr>
          <w:rFonts w:ascii="Arial" w:hAnsi="Arial" w:cs="Arial"/>
          <w:b/>
          <w:sz w:val="32"/>
          <w:szCs w:val="32"/>
        </w:rPr>
        <w:t xml:space="preserve">Kind weg, Probleme weg          </w:t>
      </w:r>
      <w:r>
        <w:rPr>
          <w:rFonts w:ascii="Arial" w:hAnsi="Arial" w:cs="Arial"/>
          <w:b/>
          <w:sz w:val="32"/>
          <w:szCs w:val="32"/>
        </w:rPr>
        <w:t xml:space="preserve">               </w:t>
      </w:r>
      <w:r w:rsidRPr="003A75FA">
        <w:rPr>
          <w:rFonts w:ascii="Arial" w:hAnsi="Arial" w:cs="Arial"/>
          <w:b/>
        </w:rPr>
        <w:t xml:space="preserve">M </w:t>
      </w:r>
      <w:r>
        <w:rPr>
          <w:rFonts w:ascii="Arial" w:hAnsi="Arial" w:cs="Arial"/>
          <w:b/>
        </w:rPr>
        <w:t>4</w:t>
      </w:r>
      <w:r>
        <w:rPr>
          <w:rFonts w:ascii="Arial" w:hAnsi="Arial" w:cs="Arial"/>
          <w:b/>
          <w:sz w:val="32"/>
          <w:szCs w:val="32"/>
        </w:rPr>
        <w:t xml:space="preserve"> </w:t>
      </w:r>
      <w:r>
        <w:rPr>
          <w:rFonts w:ascii="Arial" w:hAnsi="Arial" w:cs="Arial"/>
          <w:b/>
          <w:sz w:val="22"/>
          <w:szCs w:val="22"/>
        </w:rPr>
        <w:t>Gesetzliche Grundlagen</w:t>
      </w:r>
    </w:p>
    <w:p w:rsidR="00E51AD1" w:rsidRPr="00E51AD1" w:rsidRDefault="00E51AD1" w:rsidP="00A0062B">
      <w:pPr>
        <w:shd w:val="clear" w:color="auto" w:fill="FFFFFF"/>
        <w:spacing w:before="100" w:beforeAutospacing="1" w:after="100" w:afterAutospacing="1" w:line="276" w:lineRule="auto"/>
        <w:outlineLvl w:val="0"/>
        <w:rPr>
          <w:rFonts w:ascii="Arial" w:hAnsi="Arial" w:cs="Arial"/>
          <w:b/>
          <w:color w:val="2B2B2D"/>
          <w:kern w:val="36"/>
          <w:sz w:val="32"/>
          <w:szCs w:val="32"/>
          <w:u w:val="single"/>
        </w:rPr>
      </w:pPr>
      <w:r w:rsidRPr="00343B2E">
        <w:rPr>
          <w:rFonts w:ascii="Arial" w:hAnsi="Arial" w:cs="Arial"/>
          <w:b/>
          <w:color w:val="2B2B2D"/>
          <w:kern w:val="36"/>
          <w:sz w:val="32"/>
          <w:szCs w:val="32"/>
          <w:u w:val="single"/>
        </w:rPr>
        <w:t xml:space="preserve">Station </w:t>
      </w:r>
      <w:r>
        <w:rPr>
          <w:rFonts w:ascii="Arial" w:hAnsi="Arial" w:cs="Arial"/>
          <w:b/>
          <w:color w:val="2B2B2D"/>
          <w:kern w:val="36"/>
          <w:sz w:val="32"/>
          <w:szCs w:val="32"/>
          <w:u w:val="single"/>
        </w:rPr>
        <w:t>3</w:t>
      </w:r>
    </w:p>
    <w:tbl>
      <w:tblPr>
        <w:tblStyle w:val="Tabellenraster"/>
        <w:tblW w:w="930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85"/>
        <w:gridCol w:w="5330"/>
        <w:gridCol w:w="1985"/>
      </w:tblGrid>
      <w:tr w:rsidR="000E0E65" w:rsidRPr="00657528" w:rsidTr="00E51AD1">
        <w:tc>
          <w:tcPr>
            <w:tcW w:w="1985" w:type="dxa"/>
          </w:tcPr>
          <w:p w:rsidR="000E0E65" w:rsidRPr="00E51AD1" w:rsidRDefault="000E0E65" w:rsidP="00863292">
            <w:pPr>
              <w:spacing w:line="276" w:lineRule="auto"/>
              <w:jc w:val="center"/>
              <w:rPr>
                <w:rFonts w:ascii="Arial" w:hAnsi="Arial" w:cs="Arial"/>
                <w:sz w:val="96"/>
                <w:szCs w:val="96"/>
              </w:rPr>
            </w:pPr>
            <w:r w:rsidRPr="00E51AD1">
              <w:rPr>
                <w:rFonts w:ascii="Arial" w:hAnsi="Arial" w:cs="Arial"/>
                <w:sz w:val="96"/>
                <w:szCs w:val="96"/>
              </w:rPr>
              <w:t>§§</w:t>
            </w:r>
          </w:p>
        </w:tc>
        <w:tc>
          <w:tcPr>
            <w:tcW w:w="5330" w:type="dxa"/>
            <w:tcMar>
              <w:top w:w="57" w:type="dxa"/>
              <w:bottom w:w="57" w:type="dxa"/>
            </w:tcMar>
          </w:tcPr>
          <w:p w:rsidR="000E0E65" w:rsidRPr="00657528" w:rsidRDefault="000E0E65" w:rsidP="00863292">
            <w:pPr>
              <w:spacing w:line="276" w:lineRule="auto"/>
              <w:jc w:val="center"/>
              <w:rPr>
                <w:rFonts w:ascii="Arial" w:hAnsi="Arial" w:cs="Arial"/>
                <w:b/>
                <w:i/>
                <w:sz w:val="32"/>
                <w:szCs w:val="32"/>
              </w:rPr>
            </w:pPr>
            <w:r w:rsidRPr="00657528">
              <w:rPr>
                <w:rFonts w:ascii="Arial" w:hAnsi="Arial" w:cs="Arial"/>
                <w:b/>
                <w:i/>
                <w:sz w:val="32"/>
                <w:szCs w:val="32"/>
              </w:rPr>
              <w:t>Schwangerschaftsabbruch -</w:t>
            </w:r>
          </w:p>
          <w:p w:rsidR="000E0E65" w:rsidRPr="00657528" w:rsidRDefault="000E0E65" w:rsidP="00863292">
            <w:pPr>
              <w:spacing w:line="276" w:lineRule="auto"/>
              <w:jc w:val="center"/>
              <w:rPr>
                <w:rFonts w:ascii="Arial" w:hAnsi="Arial" w:cs="Arial"/>
                <w:i/>
                <w:sz w:val="28"/>
                <w:szCs w:val="28"/>
              </w:rPr>
            </w:pPr>
            <w:r w:rsidRPr="00657528">
              <w:rPr>
                <w:rFonts w:ascii="Arial" w:hAnsi="Arial" w:cs="Arial"/>
                <w:b/>
                <w:i/>
                <w:sz w:val="32"/>
                <w:szCs w:val="32"/>
              </w:rPr>
              <w:t>Was sagt das Gesetz?</w:t>
            </w:r>
          </w:p>
        </w:tc>
        <w:tc>
          <w:tcPr>
            <w:tcW w:w="1985" w:type="dxa"/>
          </w:tcPr>
          <w:p w:rsidR="000E0E65" w:rsidRPr="00E51AD1" w:rsidRDefault="000E0E65" w:rsidP="00863292">
            <w:pPr>
              <w:spacing w:line="276" w:lineRule="auto"/>
              <w:jc w:val="center"/>
              <w:rPr>
                <w:rFonts w:ascii="Arial" w:hAnsi="Arial" w:cs="Arial"/>
                <w:sz w:val="96"/>
                <w:szCs w:val="96"/>
              </w:rPr>
            </w:pPr>
            <w:r w:rsidRPr="00E51AD1">
              <w:rPr>
                <w:rFonts w:ascii="Arial" w:hAnsi="Arial" w:cs="Arial"/>
                <w:sz w:val="96"/>
                <w:szCs w:val="96"/>
              </w:rPr>
              <w:t>§§</w:t>
            </w:r>
          </w:p>
        </w:tc>
      </w:tr>
    </w:tbl>
    <w:p w:rsidR="002B76C9" w:rsidRPr="00EE1CB3" w:rsidRDefault="002B76C9" w:rsidP="00A0062B">
      <w:pPr>
        <w:spacing w:line="360" w:lineRule="auto"/>
        <w:rPr>
          <w:rFonts w:ascii="Arial" w:hAnsi="Arial" w:cs="Arial"/>
          <w:b/>
          <w:sz w:val="26"/>
          <w:szCs w:val="26"/>
        </w:rPr>
      </w:pPr>
      <w:r w:rsidRPr="00EE1CB3">
        <w:rPr>
          <w:rFonts w:ascii="Arial" w:hAnsi="Arial" w:cs="Arial"/>
          <w:b/>
          <w:sz w:val="26"/>
          <w:szCs w:val="26"/>
        </w:rPr>
        <w:t>Die Entscheidungen des Bundesverfassungsgerichts von 1975 und 1993</w:t>
      </w:r>
    </w:p>
    <w:p w:rsidR="002B76C9" w:rsidRPr="002B76C9" w:rsidRDefault="002B76C9" w:rsidP="00A0062B">
      <w:pPr>
        <w:pStyle w:val="Textkrper"/>
        <w:spacing w:line="276" w:lineRule="auto"/>
        <w:rPr>
          <w:sz w:val="22"/>
          <w:szCs w:val="22"/>
        </w:rPr>
      </w:pPr>
      <w:r w:rsidRPr="002B76C9">
        <w:rPr>
          <w:sz w:val="22"/>
          <w:szCs w:val="22"/>
        </w:rPr>
        <w:t xml:space="preserve">Das Bundesverfassungsgericht hat sich 1975 und 1993 zu Fragen der Menschenwürde und </w:t>
      </w:r>
      <w:r>
        <w:rPr>
          <w:sz w:val="22"/>
          <w:szCs w:val="22"/>
        </w:rPr>
        <w:t xml:space="preserve">zum Recht </w:t>
      </w:r>
      <w:r w:rsidRPr="002B76C9">
        <w:rPr>
          <w:sz w:val="22"/>
          <w:szCs w:val="22"/>
        </w:rPr>
        <w:t xml:space="preserve">auf Leben </w:t>
      </w:r>
      <w:r>
        <w:rPr>
          <w:sz w:val="22"/>
          <w:szCs w:val="22"/>
        </w:rPr>
        <w:t xml:space="preserve">beim ungeborenen Menschen </w:t>
      </w:r>
      <w:r w:rsidRPr="002B76C9">
        <w:rPr>
          <w:sz w:val="22"/>
          <w:szCs w:val="22"/>
        </w:rPr>
        <w:t>geäußert.</w:t>
      </w:r>
    </w:p>
    <w:p w:rsidR="002B76C9" w:rsidRPr="002B76C9" w:rsidRDefault="002B76C9" w:rsidP="002B76C9">
      <w:pPr>
        <w:pStyle w:val="Textkrper"/>
        <w:spacing w:line="240" w:lineRule="auto"/>
        <w:rPr>
          <w:sz w:val="22"/>
          <w:szCs w:val="22"/>
        </w:rPr>
      </w:pPr>
    </w:p>
    <w:p w:rsidR="002B76C9" w:rsidRPr="002B76C9" w:rsidRDefault="002B76C9" w:rsidP="00A0062B">
      <w:pPr>
        <w:pStyle w:val="Textkrper"/>
        <w:spacing w:line="276" w:lineRule="auto"/>
        <w:rPr>
          <w:sz w:val="22"/>
          <w:szCs w:val="22"/>
        </w:rPr>
      </w:pPr>
      <w:r w:rsidRPr="002B76C9">
        <w:rPr>
          <w:sz w:val="22"/>
          <w:szCs w:val="22"/>
        </w:rPr>
        <w:t xml:space="preserve">Das Gericht erklärt </w:t>
      </w:r>
      <w:r w:rsidR="00BA1BC2">
        <w:rPr>
          <w:sz w:val="22"/>
          <w:szCs w:val="22"/>
        </w:rPr>
        <w:t>am 25.2.</w:t>
      </w:r>
      <w:r>
        <w:rPr>
          <w:sz w:val="22"/>
          <w:szCs w:val="22"/>
        </w:rPr>
        <w:t xml:space="preserve">1975 </w:t>
      </w:r>
      <w:r w:rsidRPr="002B76C9">
        <w:rPr>
          <w:sz w:val="22"/>
          <w:szCs w:val="22"/>
        </w:rPr>
        <w:t>in seinen begründenden Leitsätzen, dass die Entwicklung des Menschen „ein kontinuierlicher Vorgang (ist), der keine scharfen Einschnitte aufweist“</w:t>
      </w:r>
      <w:r>
        <w:rPr>
          <w:sz w:val="22"/>
          <w:szCs w:val="22"/>
        </w:rPr>
        <w:t xml:space="preserve"> </w:t>
      </w:r>
      <w:r w:rsidRPr="00432DB0">
        <w:rPr>
          <w:sz w:val="22"/>
          <w:szCs w:val="22"/>
        </w:rPr>
        <w:t>(BVerfGE 39, S. 37</w:t>
      </w:r>
      <w:r w:rsidR="00432DB0" w:rsidRPr="00432DB0">
        <w:rPr>
          <w:sz w:val="22"/>
          <w:szCs w:val="22"/>
        </w:rPr>
        <w:t>)</w:t>
      </w:r>
      <w:r w:rsidRPr="00432DB0">
        <w:rPr>
          <w:sz w:val="22"/>
          <w:szCs w:val="22"/>
        </w:rPr>
        <w:t>.</w:t>
      </w:r>
      <w:r w:rsidRPr="002B76C9">
        <w:rPr>
          <w:sz w:val="22"/>
          <w:szCs w:val="22"/>
        </w:rPr>
        <w:t xml:space="preserve"> Die befruchtete Eizelle enthält von Anfang an das </w:t>
      </w:r>
      <w:r w:rsidR="00432DB0" w:rsidRPr="002B76C9">
        <w:rPr>
          <w:sz w:val="22"/>
          <w:szCs w:val="22"/>
        </w:rPr>
        <w:t xml:space="preserve">Potential </w:t>
      </w:r>
      <w:r w:rsidRPr="002B76C9">
        <w:rPr>
          <w:sz w:val="22"/>
          <w:szCs w:val="22"/>
        </w:rPr>
        <w:t>aller späteren Entwicklungsstadien (Ungeborenes, Neugeborenes, Kind, Erwachsener, Greis). Es bedarf der entsprechenden äußeren Rahmenbedingungen für die Entfaltung (Sauerstoff,</w:t>
      </w:r>
      <w:r>
        <w:rPr>
          <w:sz w:val="22"/>
          <w:szCs w:val="22"/>
        </w:rPr>
        <w:t xml:space="preserve"> Nährstoffe...).</w:t>
      </w:r>
      <w:r w:rsidR="00432DB0">
        <w:rPr>
          <w:sz w:val="22"/>
          <w:szCs w:val="22"/>
        </w:rPr>
        <w:t xml:space="preserve"> </w:t>
      </w:r>
      <w:r w:rsidRPr="002B76C9">
        <w:rPr>
          <w:sz w:val="22"/>
          <w:szCs w:val="22"/>
        </w:rPr>
        <w:t xml:space="preserve">Das Gericht urteilt: </w:t>
      </w:r>
    </w:p>
    <w:p w:rsidR="002B76C9" w:rsidRDefault="002B76C9" w:rsidP="00A0062B">
      <w:pPr>
        <w:pStyle w:val="Textkrper"/>
        <w:spacing w:line="276" w:lineRule="auto"/>
        <w:ind w:left="284"/>
        <w:rPr>
          <w:sz w:val="22"/>
          <w:szCs w:val="22"/>
        </w:rPr>
      </w:pPr>
      <w:r w:rsidRPr="002B76C9">
        <w:rPr>
          <w:sz w:val="22"/>
          <w:szCs w:val="22"/>
        </w:rPr>
        <w:t>„Wo menschliches Leben existiert, kommt ihm Menschenwürde zu; es ist nicht entscheidend, ob der Träger sich dieser Würde bewusst ist und sie selbst zu wahren weiß. Die von Anfang an im menschlichen Sein angelegten potentiellen Fähigkeiten genügen, um die Menschenwürde zu begründen</w:t>
      </w:r>
      <w:r w:rsidRPr="00432DB0">
        <w:rPr>
          <w:sz w:val="22"/>
          <w:szCs w:val="22"/>
        </w:rPr>
        <w:t>.“</w:t>
      </w:r>
      <w:r w:rsidR="00432DB0" w:rsidRPr="00432DB0">
        <w:rPr>
          <w:sz w:val="22"/>
          <w:szCs w:val="22"/>
        </w:rPr>
        <w:t xml:space="preserve"> (BVerfGE 39, S. 41).</w:t>
      </w:r>
    </w:p>
    <w:p w:rsidR="002B76C9" w:rsidRPr="002B76C9" w:rsidRDefault="002B76C9" w:rsidP="002B76C9">
      <w:pPr>
        <w:pStyle w:val="Textkrper"/>
        <w:spacing w:line="240" w:lineRule="auto"/>
        <w:rPr>
          <w:sz w:val="22"/>
          <w:szCs w:val="22"/>
        </w:rPr>
      </w:pPr>
    </w:p>
    <w:p w:rsidR="002B76C9" w:rsidRPr="002B76C9" w:rsidRDefault="002B76C9" w:rsidP="00A0062B">
      <w:pPr>
        <w:spacing w:line="276" w:lineRule="auto"/>
        <w:jc w:val="both"/>
        <w:rPr>
          <w:rFonts w:ascii="Arial" w:hAnsi="Arial" w:cs="Arial"/>
          <w:sz w:val="22"/>
          <w:szCs w:val="22"/>
        </w:rPr>
      </w:pPr>
      <w:r w:rsidRPr="002B76C9">
        <w:rPr>
          <w:rFonts w:ascii="Arial" w:hAnsi="Arial" w:cs="Arial"/>
          <w:sz w:val="22"/>
          <w:szCs w:val="22"/>
        </w:rPr>
        <w:t xml:space="preserve">18 Jahre später bekräftigt das Gericht die Schutznormen in </w:t>
      </w:r>
      <w:r w:rsidR="00432DB0">
        <w:rPr>
          <w:rFonts w:ascii="Arial" w:hAnsi="Arial" w:cs="Arial"/>
          <w:sz w:val="22"/>
          <w:szCs w:val="22"/>
        </w:rPr>
        <w:t>den</w:t>
      </w:r>
      <w:r w:rsidRPr="002B76C9">
        <w:rPr>
          <w:rFonts w:ascii="Arial" w:hAnsi="Arial" w:cs="Arial"/>
          <w:sz w:val="22"/>
          <w:szCs w:val="22"/>
        </w:rPr>
        <w:t xml:space="preserve"> Leitsätzen 1-4 des Urteils vom 28.5.</w:t>
      </w:r>
      <w:r w:rsidRPr="00432DB0">
        <w:rPr>
          <w:rFonts w:ascii="Arial" w:hAnsi="Arial" w:cs="Arial"/>
          <w:sz w:val="22"/>
          <w:szCs w:val="22"/>
        </w:rPr>
        <w:t>1993</w:t>
      </w:r>
      <w:r w:rsidR="00432DB0" w:rsidRPr="00432DB0">
        <w:rPr>
          <w:rFonts w:ascii="Arial" w:hAnsi="Arial" w:cs="Arial"/>
          <w:sz w:val="22"/>
          <w:szCs w:val="22"/>
        </w:rPr>
        <w:t xml:space="preserve"> (BVerfGE 88, S. 203ff)</w:t>
      </w:r>
      <w:r w:rsidRPr="00432DB0">
        <w:rPr>
          <w:rFonts w:ascii="Arial" w:hAnsi="Arial" w:cs="Arial"/>
          <w:sz w:val="22"/>
          <w:szCs w:val="22"/>
        </w:rPr>
        <w:t>:</w:t>
      </w:r>
    </w:p>
    <w:p w:rsidR="002B76C9" w:rsidRPr="002B76C9" w:rsidRDefault="002B76C9" w:rsidP="00A0062B">
      <w:pPr>
        <w:pStyle w:val="Textkrper"/>
        <w:numPr>
          <w:ilvl w:val="0"/>
          <w:numId w:val="6"/>
        </w:numPr>
        <w:spacing w:line="276" w:lineRule="auto"/>
        <w:rPr>
          <w:sz w:val="22"/>
          <w:szCs w:val="22"/>
        </w:rPr>
      </w:pPr>
      <w:r w:rsidRPr="002B76C9">
        <w:rPr>
          <w:sz w:val="22"/>
          <w:szCs w:val="22"/>
        </w:rPr>
        <w:t>Die Schutzpflicht des Staates gem. Art. 1 Abs. 1 und Abs. 2 GG besteht für das Ungeborene. Die Menschenwürde kommt schon dem ungeborenen Leben zu. Die Rechtsordnung muss die rechtlichen Voraussetzungen seiner Entfaltung im Sinne eines eigenen Lebensrechts gewährleisten. Das Lebensrecht wird nicht durch die Annahme seitens der Mutter begründet.</w:t>
      </w:r>
    </w:p>
    <w:p w:rsidR="002B76C9" w:rsidRPr="002B76C9" w:rsidRDefault="002B76C9" w:rsidP="00A0062B">
      <w:pPr>
        <w:pStyle w:val="Textkrper"/>
        <w:numPr>
          <w:ilvl w:val="0"/>
          <w:numId w:val="6"/>
        </w:numPr>
        <w:spacing w:line="276" w:lineRule="auto"/>
        <w:rPr>
          <w:sz w:val="22"/>
          <w:szCs w:val="22"/>
        </w:rPr>
      </w:pPr>
      <w:r w:rsidRPr="002B76C9">
        <w:rPr>
          <w:sz w:val="22"/>
          <w:szCs w:val="22"/>
        </w:rPr>
        <w:t>Die Schutzpflicht des Staates gilt bezogen auf jedes einzelne Leben.</w:t>
      </w:r>
    </w:p>
    <w:p w:rsidR="002B76C9" w:rsidRPr="002B76C9" w:rsidRDefault="002B76C9" w:rsidP="00A0062B">
      <w:pPr>
        <w:pStyle w:val="Textkrper"/>
        <w:numPr>
          <w:ilvl w:val="0"/>
          <w:numId w:val="6"/>
        </w:numPr>
        <w:spacing w:line="276" w:lineRule="auto"/>
        <w:rPr>
          <w:sz w:val="22"/>
          <w:szCs w:val="22"/>
        </w:rPr>
      </w:pPr>
      <w:r w:rsidRPr="002B76C9">
        <w:rPr>
          <w:sz w:val="22"/>
          <w:szCs w:val="22"/>
        </w:rPr>
        <w:t>Der rechtliche Schutz gebührt dem Ungeborenen auch gegenüber der Mutter.</w:t>
      </w:r>
    </w:p>
    <w:p w:rsidR="002B76C9" w:rsidRDefault="002B76C9" w:rsidP="00A0062B">
      <w:pPr>
        <w:pStyle w:val="Textkrper"/>
        <w:numPr>
          <w:ilvl w:val="0"/>
          <w:numId w:val="6"/>
        </w:numPr>
        <w:spacing w:line="276" w:lineRule="auto"/>
        <w:rPr>
          <w:sz w:val="22"/>
          <w:szCs w:val="22"/>
        </w:rPr>
      </w:pPr>
      <w:r w:rsidRPr="002B76C9">
        <w:rPr>
          <w:sz w:val="22"/>
          <w:szCs w:val="22"/>
        </w:rPr>
        <w:t>Der Schwangerschaftsabbruch muss für die ganze Schwangerschaftsdauer grundsätzlich als Unrecht angesehen werden und dementsprechend verboten sein.</w:t>
      </w:r>
    </w:p>
    <w:p w:rsidR="0031267F" w:rsidRDefault="0031267F" w:rsidP="0031267F">
      <w:pPr>
        <w:pStyle w:val="Textkrper"/>
        <w:spacing w:line="240" w:lineRule="auto"/>
        <w:rPr>
          <w:sz w:val="22"/>
          <w:szCs w:val="22"/>
        </w:rPr>
      </w:pPr>
    </w:p>
    <w:p w:rsidR="0031267F" w:rsidRPr="0031267F" w:rsidRDefault="0031267F" w:rsidP="00A0062B">
      <w:pPr>
        <w:pStyle w:val="Textkrper"/>
        <w:rPr>
          <w:b/>
        </w:rPr>
      </w:pPr>
      <w:r w:rsidRPr="0031267F">
        <w:rPr>
          <w:b/>
        </w:rPr>
        <w:t>Bestimmungen des Strafgesetzbuches (StGB) zum Schwangerschaftsabbruch</w:t>
      </w:r>
    </w:p>
    <w:p w:rsidR="000E0E65" w:rsidRPr="00657528" w:rsidRDefault="0031267F" w:rsidP="00A0062B">
      <w:pPr>
        <w:spacing w:line="276" w:lineRule="auto"/>
        <w:jc w:val="both"/>
        <w:rPr>
          <w:rFonts w:ascii="Arial" w:hAnsi="Arial" w:cs="Arial"/>
          <w:sz w:val="22"/>
          <w:szCs w:val="22"/>
        </w:rPr>
      </w:pPr>
      <w:r>
        <w:rPr>
          <w:rFonts w:ascii="Arial" w:hAnsi="Arial" w:cs="Arial"/>
          <w:sz w:val="22"/>
          <w:szCs w:val="22"/>
        </w:rPr>
        <w:t xml:space="preserve">Ein </w:t>
      </w:r>
      <w:r w:rsidR="000E0E65" w:rsidRPr="00657528">
        <w:rPr>
          <w:rFonts w:ascii="Arial" w:hAnsi="Arial" w:cs="Arial"/>
          <w:sz w:val="22"/>
          <w:szCs w:val="22"/>
        </w:rPr>
        <w:t>Schwangerschaftsabbruch ist grundsätzlich strafbar</w:t>
      </w:r>
      <w:r>
        <w:rPr>
          <w:rFonts w:ascii="Arial" w:hAnsi="Arial" w:cs="Arial"/>
          <w:sz w:val="22"/>
          <w:szCs w:val="22"/>
        </w:rPr>
        <w:t xml:space="preserve"> und deshalb im Strafgesetzbuch geregelt (§218 StGB)</w:t>
      </w:r>
      <w:r w:rsidR="000E0E65" w:rsidRPr="00657528">
        <w:rPr>
          <w:rFonts w:ascii="Arial" w:hAnsi="Arial" w:cs="Arial"/>
          <w:sz w:val="22"/>
          <w:szCs w:val="22"/>
        </w:rPr>
        <w:t xml:space="preserve">. </w:t>
      </w:r>
      <w:bookmarkStart w:id="0" w:name="_GoBack"/>
      <w:bookmarkEnd w:id="0"/>
      <w:r w:rsidR="000E0E65" w:rsidRPr="00657528">
        <w:rPr>
          <w:rFonts w:ascii="Arial" w:hAnsi="Arial" w:cs="Arial"/>
          <w:sz w:val="22"/>
          <w:szCs w:val="22"/>
        </w:rPr>
        <w:t xml:space="preserve">Es gelten aber folgende </w:t>
      </w:r>
      <w:r w:rsidR="000E0E65" w:rsidRPr="00EE1CB3">
        <w:rPr>
          <w:rFonts w:ascii="Arial" w:hAnsi="Arial" w:cs="Arial"/>
          <w:b/>
          <w:sz w:val="22"/>
          <w:szCs w:val="22"/>
          <w:u w:val="single"/>
        </w:rPr>
        <w:t>Ausnahmen</w:t>
      </w:r>
      <w:r>
        <w:rPr>
          <w:rFonts w:ascii="Arial" w:hAnsi="Arial" w:cs="Arial"/>
          <w:b/>
          <w:sz w:val="22"/>
          <w:szCs w:val="22"/>
          <w:u w:val="single"/>
        </w:rPr>
        <w:t xml:space="preserve"> (§218a StGB)</w:t>
      </w:r>
      <w:r w:rsidR="000E0E65" w:rsidRPr="00657528">
        <w:rPr>
          <w:rFonts w:ascii="Arial" w:hAnsi="Arial" w:cs="Arial"/>
          <w:sz w:val="22"/>
          <w:szCs w:val="22"/>
        </w:rPr>
        <w:t>:</w:t>
      </w:r>
    </w:p>
    <w:p w:rsidR="000E0E65" w:rsidRPr="00657528" w:rsidRDefault="000E0E65" w:rsidP="000E0E65">
      <w:pPr>
        <w:pStyle w:val="Listenabsatz"/>
        <w:numPr>
          <w:ilvl w:val="0"/>
          <w:numId w:val="3"/>
        </w:numPr>
        <w:spacing w:line="276" w:lineRule="auto"/>
        <w:jc w:val="both"/>
        <w:rPr>
          <w:rFonts w:ascii="Arial" w:hAnsi="Arial" w:cs="Arial"/>
          <w:b/>
          <w:bCs/>
          <w:sz w:val="22"/>
          <w:szCs w:val="22"/>
        </w:rPr>
      </w:pPr>
      <w:r w:rsidRPr="00BA1BC2">
        <w:rPr>
          <w:rFonts w:ascii="Arial" w:hAnsi="Arial" w:cs="Arial"/>
          <w:b/>
          <w:sz w:val="22"/>
          <w:szCs w:val="22"/>
          <w:u w:val="single"/>
        </w:rPr>
        <w:t>Beratungsregelung:</w:t>
      </w:r>
      <w:r w:rsidRPr="00657528">
        <w:rPr>
          <w:rFonts w:ascii="Arial" w:hAnsi="Arial" w:cs="Arial"/>
          <w:sz w:val="22"/>
          <w:szCs w:val="22"/>
        </w:rPr>
        <w:t xml:space="preserve"> Bei einem Schwangerschaftsabbruch auf der Grundlage der sog. Beratungsregelung ist der Tatbestand eines Schwangerschaftsabbruchs nicht verwirklicht, wenn</w:t>
      </w:r>
      <w:r w:rsidRPr="00657528">
        <w:rPr>
          <w:rFonts w:ascii="Arial" w:hAnsi="Arial" w:cs="Arial"/>
          <w:b/>
          <w:bCs/>
          <w:sz w:val="22"/>
          <w:szCs w:val="22"/>
        </w:rPr>
        <w:t xml:space="preserve"> </w:t>
      </w:r>
    </w:p>
    <w:p w:rsidR="000E0E65" w:rsidRPr="00657528" w:rsidRDefault="000E0E65" w:rsidP="000E0E65">
      <w:pPr>
        <w:pStyle w:val="Listenabsatz"/>
        <w:numPr>
          <w:ilvl w:val="0"/>
          <w:numId w:val="2"/>
        </w:numPr>
        <w:spacing w:line="276" w:lineRule="auto"/>
        <w:jc w:val="both"/>
        <w:rPr>
          <w:rFonts w:ascii="Arial" w:hAnsi="Arial" w:cs="Arial"/>
          <w:b/>
          <w:bCs/>
          <w:sz w:val="22"/>
          <w:szCs w:val="22"/>
        </w:rPr>
      </w:pPr>
      <w:r w:rsidRPr="00657528">
        <w:rPr>
          <w:rFonts w:ascii="Arial" w:hAnsi="Arial" w:cs="Arial"/>
          <w:sz w:val="22"/>
          <w:szCs w:val="22"/>
        </w:rPr>
        <w:t xml:space="preserve">die schwangere Frau den Schwangerschaftsabbruch verlangt und sie der Ärztin oder dem Arzt durch die Bescheinigung einer anerkannten Beratungsstelle eine mindestens drei Tage zurückliegende Schwangerschaftskonfliktberatung </w:t>
      </w:r>
      <w:r w:rsidRPr="00EE1CB3">
        <w:rPr>
          <w:rFonts w:ascii="Arial" w:hAnsi="Arial" w:cs="Arial"/>
          <w:sz w:val="22"/>
          <w:szCs w:val="22"/>
        </w:rPr>
        <w:t>(</w:t>
      </w:r>
      <w:r w:rsidRPr="00EE1CB3">
        <w:rPr>
          <w:rFonts w:ascii="Arial" w:hAnsi="Arial" w:cs="Arial"/>
          <w:b/>
          <w:sz w:val="22"/>
          <w:szCs w:val="22"/>
          <w:u w:val="single"/>
        </w:rPr>
        <w:t>§219</w:t>
      </w:r>
      <w:r w:rsidR="00EE1CB3" w:rsidRPr="00EE1CB3">
        <w:rPr>
          <w:rFonts w:ascii="Arial" w:hAnsi="Arial" w:cs="Arial"/>
          <w:b/>
          <w:sz w:val="22"/>
          <w:szCs w:val="22"/>
          <w:u w:val="single"/>
        </w:rPr>
        <w:t xml:space="preserve"> StGB</w:t>
      </w:r>
      <w:r w:rsidRPr="00EE1CB3">
        <w:rPr>
          <w:rFonts w:ascii="Arial" w:hAnsi="Arial" w:cs="Arial"/>
          <w:sz w:val="22"/>
          <w:szCs w:val="22"/>
        </w:rPr>
        <w:t>) nachgewiesen</w:t>
      </w:r>
      <w:r w:rsidRPr="00657528">
        <w:rPr>
          <w:rFonts w:ascii="Arial" w:hAnsi="Arial" w:cs="Arial"/>
          <w:sz w:val="22"/>
          <w:szCs w:val="22"/>
        </w:rPr>
        <w:t xml:space="preserve"> hat,</w:t>
      </w:r>
    </w:p>
    <w:p w:rsidR="000E0E65" w:rsidRPr="00657528" w:rsidRDefault="000E0E65" w:rsidP="000E0E65">
      <w:pPr>
        <w:pStyle w:val="Listenabsatz"/>
        <w:numPr>
          <w:ilvl w:val="0"/>
          <w:numId w:val="2"/>
        </w:numPr>
        <w:spacing w:line="276" w:lineRule="auto"/>
        <w:jc w:val="both"/>
        <w:rPr>
          <w:rFonts w:ascii="Arial" w:hAnsi="Arial" w:cs="Arial"/>
          <w:b/>
          <w:bCs/>
          <w:sz w:val="22"/>
          <w:szCs w:val="22"/>
        </w:rPr>
      </w:pPr>
      <w:r w:rsidRPr="00657528">
        <w:rPr>
          <w:rFonts w:ascii="Arial" w:hAnsi="Arial" w:cs="Arial"/>
          <w:sz w:val="22"/>
          <w:szCs w:val="22"/>
        </w:rPr>
        <w:t>der Schwangerschaftsabbruch von einer Ärztin</w:t>
      </w:r>
      <w:r w:rsidR="00BA1BC2">
        <w:rPr>
          <w:rFonts w:ascii="Arial" w:hAnsi="Arial" w:cs="Arial"/>
          <w:sz w:val="22"/>
          <w:szCs w:val="22"/>
        </w:rPr>
        <w:t>/</w:t>
      </w:r>
      <w:r w:rsidRPr="00657528">
        <w:rPr>
          <w:rFonts w:ascii="Arial" w:hAnsi="Arial" w:cs="Arial"/>
          <w:sz w:val="22"/>
          <w:szCs w:val="22"/>
        </w:rPr>
        <w:t xml:space="preserve"> einem Arzt vorgenommen wird und</w:t>
      </w:r>
    </w:p>
    <w:p w:rsidR="0031267F" w:rsidRPr="00E51AD1" w:rsidRDefault="000E0E65" w:rsidP="00E51AD1">
      <w:pPr>
        <w:pStyle w:val="Listenabsatz"/>
        <w:numPr>
          <w:ilvl w:val="0"/>
          <w:numId w:val="2"/>
        </w:numPr>
        <w:spacing w:after="200" w:line="276" w:lineRule="auto"/>
        <w:jc w:val="both"/>
        <w:rPr>
          <w:rFonts w:ascii="Arial" w:hAnsi="Arial" w:cs="Arial"/>
          <w:sz w:val="22"/>
          <w:szCs w:val="22"/>
        </w:rPr>
      </w:pPr>
      <w:r w:rsidRPr="00E51AD1">
        <w:rPr>
          <w:rFonts w:ascii="Arial" w:hAnsi="Arial" w:cs="Arial"/>
          <w:sz w:val="22"/>
          <w:szCs w:val="22"/>
        </w:rPr>
        <w:t>seit der Empfängnis nicht mehr als 12 Wochen ver</w:t>
      </w:r>
      <w:r w:rsidR="00BA1BC2" w:rsidRPr="00E51AD1">
        <w:rPr>
          <w:rFonts w:ascii="Arial" w:hAnsi="Arial" w:cs="Arial"/>
          <w:sz w:val="22"/>
          <w:szCs w:val="22"/>
        </w:rPr>
        <w:t>gangen</w:t>
      </w:r>
      <w:r w:rsidRPr="00E51AD1">
        <w:rPr>
          <w:rFonts w:ascii="Arial" w:hAnsi="Arial" w:cs="Arial"/>
          <w:sz w:val="22"/>
          <w:szCs w:val="22"/>
        </w:rPr>
        <w:t xml:space="preserve"> sind.</w:t>
      </w:r>
      <w:r w:rsidR="0031267F" w:rsidRPr="00E51AD1">
        <w:rPr>
          <w:rFonts w:ascii="Arial" w:hAnsi="Arial" w:cs="Arial"/>
          <w:sz w:val="22"/>
          <w:szCs w:val="22"/>
        </w:rPr>
        <w:br w:type="page"/>
      </w:r>
    </w:p>
    <w:p w:rsidR="000E0E65" w:rsidRPr="00432DB0" w:rsidRDefault="000E0E65" w:rsidP="000E0E65">
      <w:pPr>
        <w:pStyle w:val="Listenabsatz"/>
        <w:numPr>
          <w:ilvl w:val="0"/>
          <w:numId w:val="3"/>
        </w:numPr>
        <w:spacing w:line="276" w:lineRule="auto"/>
        <w:jc w:val="both"/>
        <w:rPr>
          <w:rFonts w:ascii="Arial" w:hAnsi="Arial" w:cs="Arial"/>
          <w:b/>
          <w:bCs/>
          <w:sz w:val="22"/>
          <w:szCs w:val="22"/>
        </w:rPr>
      </w:pPr>
      <w:r w:rsidRPr="00BA1BC2">
        <w:rPr>
          <w:rFonts w:ascii="Arial" w:hAnsi="Arial" w:cs="Arial"/>
          <w:b/>
          <w:sz w:val="22"/>
          <w:szCs w:val="22"/>
          <w:u w:val="single"/>
        </w:rPr>
        <w:lastRenderedPageBreak/>
        <w:t>Indikationen</w:t>
      </w:r>
      <w:r w:rsidRPr="00657528">
        <w:rPr>
          <w:rFonts w:ascii="Arial" w:hAnsi="Arial" w:cs="Arial"/>
          <w:sz w:val="22"/>
          <w:szCs w:val="22"/>
        </w:rPr>
        <w:t xml:space="preserve"> (d.h. </w:t>
      </w:r>
      <w:proofErr w:type="spellStart"/>
      <w:r w:rsidRPr="00432DB0">
        <w:rPr>
          <w:rFonts w:ascii="Arial" w:eastAsiaTheme="majorEastAsia" w:hAnsi="Arial" w:cs="Arial"/>
          <w:sz w:val="22"/>
          <w:szCs w:val="22"/>
        </w:rPr>
        <w:t>Angezeigtsein</w:t>
      </w:r>
      <w:proofErr w:type="spellEnd"/>
      <w:r w:rsidRPr="00432DB0">
        <w:rPr>
          <w:rFonts w:ascii="Arial" w:eastAsiaTheme="majorEastAsia" w:hAnsi="Arial" w:cs="Arial"/>
          <w:sz w:val="22"/>
          <w:szCs w:val="22"/>
        </w:rPr>
        <w:t xml:space="preserve"> eines Schwangerschaftsabbruchs</w:t>
      </w:r>
      <w:r w:rsidR="00432DB0">
        <w:rPr>
          <w:rFonts w:ascii="Arial" w:eastAsiaTheme="majorEastAsia" w:hAnsi="Arial" w:cs="Arial"/>
          <w:sz w:val="22"/>
          <w:szCs w:val="22"/>
        </w:rPr>
        <w:t xml:space="preserve">). </w:t>
      </w:r>
      <w:r w:rsidRPr="00432DB0">
        <w:rPr>
          <w:rFonts w:ascii="Arial" w:hAnsi="Arial" w:cs="Arial"/>
          <w:sz w:val="22"/>
          <w:szCs w:val="22"/>
        </w:rPr>
        <w:t>Ein Schwangerschaftsabbruch auf der Grundlage einer Indikation ist nicht rechtswidrig</w:t>
      </w:r>
      <w:r w:rsidR="00BA1BC2">
        <w:rPr>
          <w:rFonts w:ascii="Arial" w:hAnsi="Arial" w:cs="Arial"/>
          <w:sz w:val="22"/>
          <w:szCs w:val="22"/>
        </w:rPr>
        <w:t>.</w:t>
      </w:r>
    </w:p>
    <w:p w:rsidR="000E0E65" w:rsidRPr="00B14B59" w:rsidRDefault="00BA1BC2" w:rsidP="000E0E65">
      <w:pPr>
        <w:pStyle w:val="Listenabsatz"/>
        <w:numPr>
          <w:ilvl w:val="0"/>
          <w:numId w:val="4"/>
        </w:numPr>
        <w:spacing w:line="276" w:lineRule="auto"/>
        <w:jc w:val="both"/>
        <w:rPr>
          <w:rFonts w:ascii="Arial" w:hAnsi="Arial" w:cs="Arial"/>
          <w:b/>
          <w:bCs/>
          <w:sz w:val="22"/>
          <w:szCs w:val="22"/>
        </w:rPr>
      </w:pPr>
      <w:r>
        <w:rPr>
          <w:rFonts w:ascii="Arial" w:hAnsi="Arial" w:cs="Arial"/>
          <w:sz w:val="22"/>
          <w:szCs w:val="22"/>
        </w:rPr>
        <w:t>aufgrund</w:t>
      </w:r>
      <w:r w:rsidR="000E0E65" w:rsidRPr="00B14B59">
        <w:rPr>
          <w:rFonts w:ascii="Arial" w:hAnsi="Arial" w:cs="Arial"/>
          <w:sz w:val="22"/>
          <w:szCs w:val="22"/>
        </w:rPr>
        <w:t xml:space="preserve"> einer </w:t>
      </w:r>
      <w:r w:rsidR="000E0E65" w:rsidRPr="00EE1CB3">
        <w:rPr>
          <w:rFonts w:ascii="Arial" w:hAnsi="Arial" w:cs="Arial"/>
          <w:b/>
          <w:bCs/>
          <w:sz w:val="22"/>
          <w:szCs w:val="22"/>
          <w:u w:val="single"/>
        </w:rPr>
        <w:t>medizinischen Indikation</w:t>
      </w:r>
      <w:r w:rsidR="000E0E65" w:rsidRPr="00EE1CB3">
        <w:rPr>
          <w:rFonts w:ascii="Arial" w:hAnsi="Arial" w:cs="Arial"/>
          <w:sz w:val="22"/>
          <w:szCs w:val="22"/>
        </w:rPr>
        <w:t>,</w:t>
      </w:r>
      <w:r w:rsidR="000E0E65" w:rsidRPr="00B14B59">
        <w:rPr>
          <w:rFonts w:ascii="Arial" w:hAnsi="Arial" w:cs="Arial"/>
          <w:sz w:val="22"/>
          <w:szCs w:val="22"/>
        </w:rPr>
        <w:t xml:space="preserve"> d.h. wenn der Abbruch unter Berücksichtigung der gegenwärtigen und zukünftigen Lebensverhältnisse der Schwangeren nach ärztlicher Erkenntnis angezeigt ist. Ziel ist es dabei, eine Gefahr für das Leben oder die Gefahr einer schwerwiegenden Beeinträchtigung des körperlichen oder seelischen Gesundheitszustandes der Schwangeren abzuwenden. Diese Gefahr darf jedoch nicht auf eine andere für sie zumutbare Weise abgewendet werden können;</w:t>
      </w:r>
    </w:p>
    <w:p w:rsidR="000E0E65" w:rsidRPr="00B14B59" w:rsidRDefault="00BA1BC2" w:rsidP="000E0E65">
      <w:pPr>
        <w:pStyle w:val="Listenabsatz"/>
        <w:numPr>
          <w:ilvl w:val="0"/>
          <w:numId w:val="4"/>
        </w:numPr>
        <w:jc w:val="both"/>
        <w:rPr>
          <w:rFonts w:ascii="Arial" w:hAnsi="Arial" w:cs="Arial"/>
          <w:b/>
          <w:bCs/>
          <w:sz w:val="22"/>
          <w:szCs w:val="22"/>
        </w:rPr>
      </w:pPr>
      <w:r>
        <w:rPr>
          <w:rFonts w:ascii="Arial" w:hAnsi="Arial" w:cs="Arial"/>
          <w:sz w:val="22"/>
          <w:szCs w:val="22"/>
        </w:rPr>
        <w:t xml:space="preserve">aufgrund </w:t>
      </w:r>
      <w:r w:rsidR="000E0E65" w:rsidRPr="00B14B59">
        <w:rPr>
          <w:rFonts w:ascii="Arial" w:hAnsi="Arial" w:cs="Arial"/>
          <w:sz w:val="22"/>
          <w:szCs w:val="22"/>
        </w:rPr>
        <w:t xml:space="preserve">einer </w:t>
      </w:r>
      <w:r w:rsidR="000E0E65" w:rsidRPr="00EE1CB3">
        <w:rPr>
          <w:rFonts w:ascii="Arial" w:hAnsi="Arial" w:cs="Arial"/>
          <w:b/>
          <w:bCs/>
          <w:sz w:val="22"/>
          <w:szCs w:val="22"/>
          <w:u w:val="single"/>
        </w:rPr>
        <w:t>kriminologischen Indikation</w:t>
      </w:r>
      <w:r w:rsidR="000E0E65" w:rsidRPr="00B14B59">
        <w:rPr>
          <w:rFonts w:ascii="Arial" w:hAnsi="Arial" w:cs="Arial"/>
          <w:sz w:val="22"/>
          <w:szCs w:val="22"/>
        </w:rPr>
        <w:t xml:space="preserve">, d.h. wenn nach ärztlicher Erkenntnis an der Schwangeren eine rechtswidrige Tat wie sexueller Missbrauch von Kindern; sexuelle Nötigung, Vergewaltigung, sexueller Missbrauch widerstandsunfähiger Personen begangen worden ist und dringende Gründe dafür sprechen, dass die Schwangerschaft auf der Tat beruht und seit der Empfängnis nicht mehr als 12 Wochen vergangen sind. </w:t>
      </w:r>
    </w:p>
    <w:p w:rsidR="000E0E65" w:rsidRPr="00657528" w:rsidRDefault="000E0E65" w:rsidP="000E0E65">
      <w:pPr>
        <w:spacing w:line="276" w:lineRule="auto"/>
        <w:ind w:left="360"/>
        <w:jc w:val="both"/>
        <w:rPr>
          <w:rFonts w:ascii="Arial" w:hAnsi="Arial" w:cs="Arial"/>
          <w:b/>
          <w:bCs/>
          <w:sz w:val="22"/>
          <w:szCs w:val="22"/>
        </w:rPr>
      </w:pPr>
    </w:p>
    <w:p w:rsidR="000E0E65" w:rsidRPr="00EE1CB3" w:rsidRDefault="000E0E65" w:rsidP="000E0E65">
      <w:pPr>
        <w:spacing w:line="276" w:lineRule="auto"/>
        <w:jc w:val="both"/>
        <w:rPr>
          <w:rFonts w:ascii="Arial" w:hAnsi="Arial" w:cs="Arial"/>
          <w:sz w:val="22"/>
          <w:szCs w:val="22"/>
        </w:rPr>
      </w:pPr>
      <w:r w:rsidRPr="00EE1CB3">
        <w:rPr>
          <w:rFonts w:ascii="Arial" w:hAnsi="Arial" w:cs="Arial"/>
          <w:b/>
          <w:sz w:val="22"/>
          <w:szCs w:val="22"/>
        </w:rPr>
        <w:t>Strafbarkeit anderer Personen:</w:t>
      </w:r>
    </w:p>
    <w:p w:rsidR="0031267F" w:rsidRDefault="000E0E65" w:rsidP="000E0E65">
      <w:pPr>
        <w:spacing w:line="276" w:lineRule="auto"/>
        <w:jc w:val="both"/>
        <w:rPr>
          <w:rFonts w:ascii="Arial" w:hAnsi="Arial" w:cs="Arial"/>
          <w:sz w:val="22"/>
          <w:szCs w:val="22"/>
        </w:rPr>
      </w:pPr>
      <w:r>
        <w:rPr>
          <w:rFonts w:ascii="Arial" w:hAnsi="Arial" w:cs="Arial"/>
          <w:sz w:val="22"/>
          <w:szCs w:val="22"/>
        </w:rPr>
        <w:t xml:space="preserve">Jede Person, die an einer verbotenen Abtreibung durch </w:t>
      </w:r>
      <w:r w:rsidRPr="00657528">
        <w:rPr>
          <w:rFonts w:ascii="Arial" w:hAnsi="Arial" w:cs="Arial"/>
          <w:sz w:val="22"/>
          <w:szCs w:val="22"/>
        </w:rPr>
        <w:t>Mittäterschaft, Anstif</w:t>
      </w:r>
      <w:r>
        <w:rPr>
          <w:rFonts w:ascii="Arial" w:hAnsi="Arial" w:cs="Arial"/>
          <w:sz w:val="22"/>
          <w:szCs w:val="22"/>
        </w:rPr>
        <w:t xml:space="preserve">tung oder Beihilfe beteiligt ist, macht sich strafbar. Dies gilt auch für jede Person, die </w:t>
      </w:r>
      <w:r w:rsidRPr="00657528">
        <w:rPr>
          <w:rFonts w:ascii="Arial" w:hAnsi="Arial" w:cs="Arial"/>
          <w:sz w:val="22"/>
          <w:szCs w:val="22"/>
        </w:rPr>
        <w:t xml:space="preserve">eine Schwangere mit Gewalt oder durch Drohung </w:t>
      </w:r>
      <w:r w:rsidR="0031267F">
        <w:rPr>
          <w:rFonts w:ascii="Arial" w:hAnsi="Arial" w:cs="Arial"/>
          <w:sz w:val="22"/>
          <w:szCs w:val="22"/>
        </w:rPr>
        <w:t xml:space="preserve">zum Schwangerschaftsabbruch </w:t>
      </w:r>
      <w:r w:rsidRPr="00657528">
        <w:rPr>
          <w:rFonts w:ascii="Arial" w:hAnsi="Arial" w:cs="Arial"/>
          <w:sz w:val="22"/>
          <w:szCs w:val="22"/>
        </w:rPr>
        <w:t>nötigt (</w:t>
      </w:r>
      <w:r w:rsidR="00EE1CB3">
        <w:rPr>
          <w:rFonts w:ascii="Arial" w:hAnsi="Arial" w:cs="Arial"/>
          <w:sz w:val="22"/>
          <w:szCs w:val="22"/>
        </w:rPr>
        <w:t>§240 StGB</w:t>
      </w:r>
      <w:r w:rsidR="0031267F">
        <w:rPr>
          <w:rFonts w:ascii="Arial" w:hAnsi="Arial" w:cs="Arial"/>
          <w:sz w:val="22"/>
          <w:szCs w:val="22"/>
        </w:rPr>
        <w:t>).</w:t>
      </w:r>
    </w:p>
    <w:p w:rsidR="000E0E65" w:rsidRPr="00657528" w:rsidRDefault="0031267F" w:rsidP="000E0E65">
      <w:pPr>
        <w:spacing w:line="276" w:lineRule="auto"/>
        <w:jc w:val="both"/>
        <w:rPr>
          <w:rFonts w:ascii="Arial" w:hAnsi="Arial" w:cs="Arial"/>
          <w:sz w:val="22"/>
          <w:szCs w:val="22"/>
        </w:rPr>
      </w:pPr>
      <w:r>
        <w:rPr>
          <w:rFonts w:ascii="Arial" w:hAnsi="Arial" w:cs="Arial"/>
          <w:sz w:val="22"/>
          <w:szCs w:val="22"/>
        </w:rPr>
        <w:t>W</w:t>
      </w:r>
      <w:r w:rsidR="000E0E65" w:rsidRPr="00657528">
        <w:rPr>
          <w:rFonts w:ascii="Arial" w:hAnsi="Arial" w:cs="Arial"/>
          <w:sz w:val="22"/>
          <w:szCs w:val="22"/>
        </w:rPr>
        <w:t>er einer Schwangeren zum Unterhalt verpflichtet ist und ihr diesen Unterhalt in verwerflicher Weise vorenthält und dadurch den Abbruch der Schwangerschaft bewirkt, erfüllt einen Straftatbestand</w:t>
      </w:r>
      <w:r>
        <w:rPr>
          <w:rFonts w:ascii="Arial" w:hAnsi="Arial" w:cs="Arial"/>
          <w:sz w:val="22"/>
          <w:szCs w:val="22"/>
        </w:rPr>
        <w:t xml:space="preserve"> (§170 StGB)</w:t>
      </w:r>
      <w:r w:rsidR="000E0E65" w:rsidRPr="00657528">
        <w:rPr>
          <w:rFonts w:ascii="Arial" w:hAnsi="Arial" w:cs="Arial"/>
          <w:sz w:val="22"/>
          <w:szCs w:val="22"/>
        </w:rPr>
        <w:t>.</w:t>
      </w:r>
    </w:p>
    <w:p w:rsidR="000E0E65" w:rsidRPr="00657528" w:rsidRDefault="000E0E65" w:rsidP="000E0E65">
      <w:pPr>
        <w:spacing w:line="276" w:lineRule="auto"/>
        <w:jc w:val="both"/>
        <w:rPr>
          <w:rFonts w:ascii="Arial" w:hAnsi="Arial" w:cs="Arial"/>
          <w:sz w:val="22"/>
          <w:szCs w:val="22"/>
        </w:rPr>
      </w:pPr>
    </w:p>
    <w:p w:rsidR="000E0E65" w:rsidRPr="00EE1CB3" w:rsidRDefault="000E0E65" w:rsidP="000E0E65">
      <w:pPr>
        <w:spacing w:line="276" w:lineRule="auto"/>
        <w:jc w:val="both"/>
        <w:rPr>
          <w:rFonts w:ascii="Arial" w:hAnsi="Arial" w:cs="Arial"/>
          <w:sz w:val="22"/>
          <w:szCs w:val="22"/>
        </w:rPr>
      </w:pPr>
      <w:r w:rsidRPr="00EE1CB3">
        <w:rPr>
          <w:rFonts w:ascii="Arial" w:hAnsi="Arial" w:cs="Arial"/>
          <w:b/>
          <w:sz w:val="22"/>
          <w:szCs w:val="22"/>
        </w:rPr>
        <w:t>Ärztliche Pflichten</w:t>
      </w:r>
      <w:r w:rsidR="00EE1CB3" w:rsidRPr="00EE1CB3">
        <w:rPr>
          <w:rFonts w:ascii="Arial" w:hAnsi="Arial" w:cs="Arial"/>
          <w:b/>
          <w:sz w:val="22"/>
          <w:szCs w:val="22"/>
        </w:rPr>
        <w:t xml:space="preserve"> (§218c StGB)</w:t>
      </w:r>
      <w:r w:rsidRPr="00EE1CB3">
        <w:rPr>
          <w:rFonts w:ascii="Arial" w:hAnsi="Arial" w:cs="Arial"/>
          <w:b/>
          <w:sz w:val="22"/>
          <w:szCs w:val="22"/>
        </w:rPr>
        <w:t>:</w:t>
      </w:r>
    </w:p>
    <w:p w:rsidR="000E0E65" w:rsidRPr="00657528" w:rsidRDefault="000E0E65" w:rsidP="000E0E65">
      <w:pPr>
        <w:spacing w:line="276" w:lineRule="auto"/>
        <w:jc w:val="both"/>
        <w:rPr>
          <w:rFonts w:ascii="Arial" w:hAnsi="Arial" w:cs="Arial"/>
          <w:sz w:val="22"/>
          <w:szCs w:val="22"/>
        </w:rPr>
      </w:pPr>
      <w:r>
        <w:rPr>
          <w:rFonts w:ascii="Arial" w:hAnsi="Arial" w:cs="Arial"/>
          <w:sz w:val="22"/>
          <w:szCs w:val="22"/>
        </w:rPr>
        <w:t>Wenn die Ärztin bzw. der Arzt nicht bestraft werden wollen, müssen sie Folgendes beachten</w:t>
      </w:r>
      <w:r w:rsidRPr="00657528">
        <w:rPr>
          <w:rFonts w:ascii="Arial" w:hAnsi="Arial" w:cs="Arial"/>
          <w:sz w:val="22"/>
          <w:szCs w:val="22"/>
        </w:rPr>
        <w:t>:</w:t>
      </w:r>
    </w:p>
    <w:p w:rsidR="000E0E65" w:rsidRPr="00657528" w:rsidRDefault="000E0E65" w:rsidP="000E0E65">
      <w:pPr>
        <w:pStyle w:val="Listenabsatz"/>
        <w:numPr>
          <w:ilvl w:val="0"/>
          <w:numId w:val="5"/>
        </w:numPr>
        <w:spacing w:line="276" w:lineRule="auto"/>
        <w:jc w:val="both"/>
        <w:rPr>
          <w:rFonts w:ascii="Arial" w:hAnsi="Arial" w:cs="Arial"/>
          <w:b/>
          <w:bCs/>
          <w:sz w:val="22"/>
          <w:szCs w:val="22"/>
        </w:rPr>
      </w:pPr>
      <w:r>
        <w:rPr>
          <w:rFonts w:ascii="Arial" w:hAnsi="Arial" w:cs="Arial"/>
          <w:sz w:val="22"/>
          <w:szCs w:val="22"/>
        </w:rPr>
        <w:t>Der Fr</w:t>
      </w:r>
      <w:r w:rsidRPr="00657528">
        <w:rPr>
          <w:rFonts w:ascii="Arial" w:hAnsi="Arial" w:cs="Arial"/>
          <w:sz w:val="22"/>
          <w:szCs w:val="22"/>
        </w:rPr>
        <w:t xml:space="preserve">au muss Gelegenheit gegeben werden, die Gründe </w:t>
      </w:r>
      <w:r>
        <w:rPr>
          <w:rFonts w:ascii="Arial" w:hAnsi="Arial" w:cs="Arial"/>
          <w:sz w:val="22"/>
          <w:szCs w:val="22"/>
        </w:rPr>
        <w:t>zu erklären, warum sie die Schwangerschaft abbrechen will</w:t>
      </w:r>
      <w:r w:rsidRPr="00657528">
        <w:rPr>
          <w:rFonts w:ascii="Arial" w:hAnsi="Arial" w:cs="Arial"/>
          <w:sz w:val="22"/>
          <w:szCs w:val="22"/>
        </w:rPr>
        <w:t>.</w:t>
      </w:r>
    </w:p>
    <w:p w:rsidR="000E0E65" w:rsidRPr="00657528" w:rsidRDefault="000E0E65" w:rsidP="000E0E65">
      <w:pPr>
        <w:pStyle w:val="Listenabsatz"/>
        <w:numPr>
          <w:ilvl w:val="0"/>
          <w:numId w:val="5"/>
        </w:numPr>
        <w:spacing w:line="276" w:lineRule="auto"/>
        <w:jc w:val="both"/>
        <w:rPr>
          <w:rFonts w:ascii="Arial" w:hAnsi="Arial" w:cs="Arial"/>
          <w:b/>
          <w:bCs/>
          <w:sz w:val="22"/>
          <w:szCs w:val="22"/>
        </w:rPr>
      </w:pPr>
      <w:r w:rsidRPr="00657528">
        <w:rPr>
          <w:rFonts w:ascii="Arial" w:hAnsi="Arial" w:cs="Arial"/>
          <w:sz w:val="22"/>
          <w:szCs w:val="22"/>
        </w:rPr>
        <w:t>Die Schwangere ist über d</w:t>
      </w:r>
      <w:r>
        <w:rPr>
          <w:rFonts w:ascii="Arial" w:hAnsi="Arial" w:cs="Arial"/>
          <w:sz w:val="22"/>
          <w:szCs w:val="22"/>
        </w:rPr>
        <w:t>ie Bedeutung des Eingriffs, ins</w:t>
      </w:r>
      <w:r w:rsidRPr="00657528">
        <w:rPr>
          <w:rFonts w:ascii="Arial" w:hAnsi="Arial" w:cs="Arial"/>
          <w:sz w:val="22"/>
          <w:szCs w:val="22"/>
        </w:rPr>
        <w:t xml:space="preserve">besondere über Ablauf, Folgen, Risiken, mögliche </w:t>
      </w:r>
      <w:r>
        <w:rPr>
          <w:rFonts w:ascii="Arial" w:hAnsi="Arial" w:cs="Arial"/>
          <w:sz w:val="22"/>
          <w:szCs w:val="22"/>
        </w:rPr>
        <w:t>körperliche (</w:t>
      </w:r>
      <w:r w:rsidRPr="00657528">
        <w:rPr>
          <w:rFonts w:ascii="Arial" w:hAnsi="Arial" w:cs="Arial"/>
          <w:sz w:val="22"/>
          <w:szCs w:val="22"/>
        </w:rPr>
        <w:t>physische</w:t>
      </w:r>
      <w:r>
        <w:rPr>
          <w:rFonts w:ascii="Arial" w:hAnsi="Arial" w:cs="Arial"/>
          <w:sz w:val="22"/>
          <w:szCs w:val="22"/>
        </w:rPr>
        <w:t>)</w:t>
      </w:r>
      <w:r w:rsidRPr="00657528">
        <w:rPr>
          <w:rFonts w:ascii="Arial" w:hAnsi="Arial" w:cs="Arial"/>
          <w:sz w:val="22"/>
          <w:szCs w:val="22"/>
        </w:rPr>
        <w:t xml:space="preserve"> und </w:t>
      </w:r>
      <w:r>
        <w:rPr>
          <w:rFonts w:ascii="Arial" w:hAnsi="Arial" w:cs="Arial"/>
          <w:sz w:val="22"/>
          <w:szCs w:val="22"/>
        </w:rPr>
        <w:t>seelische (</w:t>
      </w:r>
      <w:r w:rsidRPr="00657528">
        <w:rPr>
          <w:rFonts w:ascii="Arial" w:hAnsi="Arial" w:cs="Arial"/>
          <w:sz w:val="22"/>
          <w:szCs w:val="22"/>
        </w:rPr>
        <w:t>psychische</w:t>
      </w:r>
      <w:r>
        <w:rPr>
          <w:rFonts w:ascii="Arial" w:hAnsi="Arial" w:cs="Arial"/>
          <w:sz w:val="22"/>
          <w:szCs w:val="22"/>
        </w:rPr>
        <w:t>)</w:t>
      </w:r>
      <w:r w:rsidRPr="00657528">
        <w:rPr>
          <w:rFonts w:ascii="Arial" w:hAnsi="Arial" w:cs="Arial"/>
          <w:sz w:val="22"/>
          <w:szCs w:val="22"/>
        </w:rPr>
        <w:t xml:space="preserve"> Auswirkungen ärztlich zu beraten.</w:t>
      </w:r>
      <w:r w:rsidRPr="00657528">
        <w:rPr>
          <w:rFonts w:ascii="Arial" w:hAnsi="Arial" w:cs="Arial"/>
          <w:b/>
          <w:bCs/>
          <w:sz w:val="22"/>
          <w:szCs w:val="22"/>
        </w:rPr>
        <w:t xml:space="preserve"> </w:t>
      </w:r>
    </w:p>
    <w:p w:rsidR="000E0E65" w:rsidRPr="00657528" w:rsidRDefault="000E0E65" w:rsidP="000E0E65">
      <w:pPr>
        <w:pStyle w:val="Listenabsatz"/>
        <w:numPr>
          <w:ilvl w:val="0"/>
          <w:numId w:val="5"/>
        </w:numPr>
        <w:spacing w:line="276" w:lineRule="auto"/>
        <w:jc w:val="both"/>
        <w:rPr>
          <w:rFonts w:ascii="Arial" w:hAnsi="Arial" w:cs="Arial"/>
          <w:b/>
          <w:bCs/>
          <w:sz w:val="22"/>
          <w:szCs w:val="22"/>
        </w:rPr>
      </w:pPr>
      <w:r w:rsidRPr="00657528">
        <w:rPr>
          <w:rFonts w:ascii="Arial" w:hAnsi="Arial" w:cs="Arial"/>
          <w:sz w:val="22"/>
          <w:szCs w:val="22"/>
        </w:rPr>
        <w:t>Bei der Beratungsregelung und der kriminologischen Indikation ist die Dauer der Schwangerschaft aufgrund ärztlicher Untersuchung zu überprüfen.</w:t>
      </w:r>
    </w:p>
    <w:p w:rsidR="000E0E65" w:rsidRPr="00657528" w:rsidRDefault="000E0E65" w:rsidP="000E0E65">
      <w:pPr>
        <w:pStyle w:val="Listenabsatz"/>
        <w:numPr>
          <w:ilvl w:val="0"/>
          <w:numId w:val="5"/>
        </w:numPr>
        <w:spacing w:line="276" w:lineRule="auto"/>
        <w:jc w:val="both"/>
        <w:rPr>
          <w:rFonts w:ascii="Arial" w:hAnsi="Arial" w:cs="Arial"/>
          <w:b/>
          <w:bCs/>
          <w:sz w:val="22"/>
          <w:szCs w:val="22"/>
        </w:rPr>
      </w:pPr>
      <w:r w:rsidRPr="00657528">
        <w:rPr>
          <w:rFonts w:ascii="Arial" w:hAnsi="Arial" w:cs="Arial"/>
          <w:sz w:val="22"/>
          <w:szCs w:val="22"/>
        </w:rPr>
        <w:t>Soweit der Nachweis einer gesetzlichen Schwangerschaftskonfliktberatung für die Straflosigkeit der Frau erforderlich ist, darf die Ärztin bzw. der Arzt, die/der den Abbruch vornimmt, die Frau nicht zugleich beraten haben.</w:t>
      </w:r>
    </w:p>
    <w:p w:rsidR="000E0E65" w:rsidRPr="00657528" w:rsidRDefault="000E0E65" w:rsidP="000E0E65">
      <w:pPr>
        <w:spacing w:line="276" w:lineRule="auto"/>
        <w:ind w:left="708"/>
        <w:jc w:val="both"/>
        <w:rPr>
          <w:rFonts w:ascii="Arial" w:hAnsi="Arial" w:cs="Arial"/>
          <w:b/>
          <w:bCs/>
          <w:sz w:val="22"/>
          <w:szCs w:val="22"/>
        </w:rPr>
      </w:pPr>
    </w:p>
    <w:p w:rsidR="00DE4831" w:rsidRDefault="000E0E65" w:rsidP="00BA1BC2">
      <w:pPr>
        <w:pStyle w:val="Default"/>
        <w:spacing w:line="276" w:lineRule="auto"/>
      </w:pPr>
      <w:r w:rsidRPr="00657528">
        <w:rPr>
          <w:rFonts w:ascii="Arial" w:hAnsi="Arial" w:cs="Arial"/>
          <w:sz w:val="16"/>
          <w:szCs w:val="16"/>
        </w:rPr>
        <w:t xml:space="preserve">[Quelle: Schwangerschaftsberatung § 218. </w:t>
      </w:r>
      <w:r w:rsidRPr="00657528">
        <w:rPr>
          <w:rFonts w:ascii="Arial" w:hAnsi="Arial" w:cs="Arial"/>
          <w:bCs/>
          <w:sz w:val="16"/>
          <w:szCs w:val="16"/>
        </w:rPr>
        <w:t xml:space="preserve">Informationen über das Schwangerschaftskonfliktgesetz und gesetzliche Regelungen im Kontext des § 218 Strafgesetzbuch, hrsg. vom </w:t>
      </w:r>
      <w:r w:rsidRPr="00657528">
        <w:rPr>
          <w:rFonts w:ascii="Arial" w:hAnsi="Arial" w:cs="Arial"/>
          <w:sz w:val="16"/>
          <w:szCs w:val="16"/>
        </w:rPr>
        <w:t xml:space="preserve">Bundesministerium für Familie, Senioren, Frauen und Jugend, Berlin 2012; </w:t>
      </w:r>
      <w:r w:rsidRPr="00BA1BC2">
        <w:rPr>
          <w:sz w:val="16"/>
          <w:szCs w:val="16"/>
        </w:rPr>
        <w:t>www.bmfsfj.de</w:t>
      </w:r>
      <w:r w:rsidRPr="00657528">
        <w:rPr>
          <w:rFonts w:ascii="Arial" w:hAnsi="Arial" w:cs="Arial"/>
          <w:sz w:val="16"/>
          <w:szCs w:val="16"/>
        </w:rPr>
        <w:t>; bearbeitet]</w:t>
      </w:r>
    </w:p>
    <w:sectPr w:rsidR="00DE4831" w:rsidSect="00733BB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C0" w:rsidRDefault="001930C0" w:rsidP="000E0E65">
      <w:r>
        <w:separator/>
      </w:r>
    </w:p>
  </w:endnote>
  <w:endnote w:type="continuationSeparator" w:id="0">
    <w:p w:rsidR="001930C0" w:rsidRDefault="001930C0" w:rsidP="000E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ndesSans Bold">
    <w:altName w:val="BundesSans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4D" w:rsidRDefault="00EC2A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60082579"/>
      <w:docPartObj>
        <w:docPartGallery w:val="Page Numbers (Top of Page)"/>
        <w:docPartUnique/>
      </w:docPartObj>
    </w:sdtPr>
    <w:sdtEndPr/>
    <w:sdtContent>
      <w:p w:rsidR="00EC2A4D" w:rsidRDefault="00EC2A4D" w:rsidP="00EC2A4D">
        <w:pPr>
          <w:pStyle w:val="Fuzeile"/>
          <w:jc w:val="right"/>
          <w:rPr>
            <w:rFonts w:ascii="Arial" w:hAnsi="Arial" w:cs="Arial"/>
            <w:sz w:val="20"/>
            <w:szCs w:val="20"/>
          </w:rPr>
        </w:pPr>
        <w:r w:rsidRPr="00CB754A">
          <w:rPr>
            <w:rFonts w:ascii="Arial" w:hAnsi="Arial" w:cs="Arial"/>
            <w:sz w:val="20"/>
            <w:szCs w:val="20"/>
          </w:rPr>
          <w:t xml:space="preserve">Station </w:t>
        </w:r>
        <w:r>
          <w:rPr>
            <w:rFonts w:ascii="Arial" w:hAnsi="Arial" w:cs="Arial"/>
            <w:sz w:val="20"/>
            <w:szCs w:val="20"/>
          </w:rPr>
          <w:t>3</w:t>
        </w:r>
        <w:r w:rsidRPr="00CB754A">
          <w:rPr>
            <w:rFonts w:ascii="Arial" w:hAnsi="Arial" w:cs="Arial"/>
            <w:sz w:val="20"/>
            <w:szCs w:val="20"/>
          </w:rPr>
          <w:t xml:space="preserve"> </w:t>
        </w:r>
        <w:r>
          <w:rPr>
            <w:rFonts w:ascii="Arial" w:hAnsi="Arial" w:cs="Arial"/>
            <w:sz w:val="20"/>
            <w:szCs w:val="20"/>
          </w:rPr>
          <w:t>Gesetzliche Grundlagen</w:t>
        </w:r>
        <w:r w:rsidRPr="00CB754A">
          <w:rPr>
            <w:rFonts w:ascii="Arial" w:hAnsi="Arial" w:cs="Arial"/>
            <w:sz w:val="20"/>
            <w:szCs w:val="20"/>
          </w:rPr>
          <w:t xml:space="preserve">, Kind weg – Probleme weg, Seite </w:t>
        </w:r>
        <w:r w:rsidRPr="00CB754A">
          <w:rPr>
            <w:rFonts w:ascii="Arial" w:hAnsi="Arial" w:cs="Arial"/>
            <w:b/>
            <w:bCs/>
            <w:sz w:val="20"/>
            <w:szCs w:val="20"/>
          </w:rPr>
          <w:fldChar w:fldCharType="begin"/>
        </w:r>
        <w:r w:rsidRPr="00CB754A">
          <w:rPr>
            <w:rFonts w:ascii="Arial" w:hAnsi="Arial" w:cs="Arial"/>
            <w:b/>
            <w:bCs/>
            <w:sz w:val="20"/>
            <w:szCs w:val="20"/>
          </w:rPr>
          <w:instrText>PAGE</w:instrText>
        </w:r>
        <w:r w:rsidRPr="00CB754A">
          <w:rPr>
            <w:rFonts w:ascii="Arial" w:hAnsi="Arial" w:cs="Arial"/>
            <w:b/>
            <w:bCs/>
            <w:sz w:val="20"/>
            <w:szCs w:val="20"/>
          </w:rPr>
          <w:fldChar w:fldCharType="separate"/>
        </w:r>
        <w:r w:rsidR="00A0062B">
          <w:rPr>
            <w:rFonts w:ascii="Arial" w:hAnsi="Arial" w:cs="Arial"/>
            <w:b/>
            <w:bCs/>
            <w:noProof/>
            <w:sz w:val="20"/>
            <w:szCs w:val="20"/>
          </w:rPr>
          <w:t>1</w:t>
        </w:r>
        <w:r w:rsidRPr="00CB754A">
          <w:rPr>
            <w:rFonts w:ascii="Arial" w:hAnsi="Arial" w:cs="Arial"/>
            <w:b/>
            <w:bCs/>
            <w:sz w:val="20"/>
            <w:szCs w:val="20"/>
          </w:rPr>
          <w:fldChar w:fldCharType="end"/>
        </w:r>
        <w:r w:rsidRPr="00CB754A">
          <w:rPr>
            <w:rFonts w:ascii="Arial" w:hAnsi="Arial" w:cs="Arial"/>
            <w:sz w:val="20"/>
            <w:szCs w:val="20"/>
          </w:rPr>
          <w:t xml:space="preserve"> von </w:t>
        </w:r>
        <w:r w:rsidRPr="00CB754A">
          <w:rPr>
            <w:rFonts w:ascii="Arial" w:hAnsi="Arial" w:cs="Arial"/>
            <w:b/>
            <w:bCs/>
            <w:sz w:val="20"/>
            <w:szCs w:val="20"/>
          </w:rPr>
          <w:fldChar w:fldCharType="begin"/>
        </w:r>
        <w:r w:rsidRPr="00CB754A">
          <w:rPr>
            <w:rFonts w:ascii="Arial" w:hAnsi="Arial" w:cs="Arial"/>
            <w:b/>
            <w:bCs/>
            <w:sz w:val="20"/>
            <w:szCs w:val="20"/>
          </w:rPr>
          <w:instrText>NUMPAGES</w:instrText>
        </w:r>
        <w:r w:rsidRPr="00CB754A">
          <w:rPr>
            <w:rFonts w:ascii="Arial" w:hAnsi="Arial" w:cs="Arial"/>
            <w:b/>
            <w:bCs/>
            <w:sz w:val="20"/>
            <w:szCs w:val="20"/>
          </w:rPr>
          <w:fldChar w:fldCharType="separate"/>
        </w:r>
        <w:r w:rsidR="00A0062B">
          <w:rPr>
            <w:rFonts w:ascii="Arial" w:hAnsi="Arial" w:cs="Arial"/>
            <w:b/>
            <w:bCs/>
            <w:noProof/>
            <w:sz w:val="20"/>
            <w:szCs w:val="20"/>
          </w:rPr>
          <w:t>2</w:t>
        </w:r>
        <w:r w:rsidRPr="00CB754A">
          <w:rPr>
            <w:rFonts w:ascii="Arial" w:hAnsi="Arial" w:cs="Arial"/>
            <w:b/>
            <w:bCs/>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4D" w:rsidRDefault="00EC2A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C0" w:rsidRDefault="001930C0" w:rsidP="000E0E65">
      <w:r>
        <w:separator/>
      </w:r>
    </w:p>
  </w:footnote>
  <w:footnote w:type="continuationSeparator" w:id="0">
    <w:p w:rsidR="001930C0" w:rsidRDefault="001930C0" w:rsidP="000E0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4D" w:rsidRDefault="00EC2A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3C" w:rsidRPr="00EC2A4D" w:rsidRDefault="001930C0" w:rsidP="00EC2A4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4D" w:rsidRDefault="00EC2A4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7880"/>
    <w:multiLevelType w:val="hybridMultilevel"/>
    <w:tmpl w:val="4BCADD42"/>
    <w:lvl w:ilvl="0" w:tplc="56847E02">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7F41F5"/>
    <w:multiLevelType w:val="hybridMultilevel"/>
    <w:tmpl w:val="F120EA9A"/>
    <w:lvl w:ilvl="0" w:tplc="04070017">
      <w:start w:val="1"/>
      <w:numFmt w:val="lowerLetter"/>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3757FD4"/>
    <w:multiLevelType w:val="multilevel"/>
    <w:tmpl w:val="7772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75CD7"/>
    <w:multiLevelType w:val="hybridMultilevel"/>
    <w:tmpl w:val="BFB4EE4C"/>
    <w:lvl w:ilvl="0" w:tplc="B4F4A9D4">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07B29F9"/>
    <w:multiLevelType w:val="hybridMultilevel"/>
    <w:tmpl w:val="FDE8625C"/>
    <w:lvl w:ilvl="0" w:tplc="56847E02">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96D3623"/>
    <w:multiLevelType w:val="hybridMultilevel"/>
    <w:tmpl w:val="2B7A5026"/>
    <w:lvl w:ilvl="0" w:tplc="56847E02">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65"/>
    <w:rsid w:val="000E0E65"/>
    <w:rsid w:val="001930C0"/>
    <w:rsid w:val="0023499F"/>
    <w:rsid w:val="002B76C9"/>
    <w:rsid w:val="0031267F"/>
    <w:rsid w:val="00383638"/>
    <w:rsid w:val="00432DB0"/>
    <w:rsid w:val="004F5DB7"/>
    <w:rsid w:val="004F682E"/>
    <w:rsid w:val="006D5CCD"/>
    <w:rsid w:val="006F5801"/>
    <w:rsid w:val="007A5CEA"/>
    <w:rsid w:val="0096267B"/>
    <w:rsid w:val="009D30AC"/>
    <w:rsid w:val="00A0062B"/>
    <w:rsid w:val="00BA1BC2"/>
    <w:rsid w:val="00C6511A"/>
    <w:rsid w:val="00DE4831"/>
    <w:rsid w:val="00E51AD1"/>
    <w:rsid w:val="00EC2A4D"/>
    <w:rsid w:val="00EE1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E65"/>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nhideWhenUsed/>
    <w:qFormat/>
    <w:rsid w:val="000E0E65"/>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E0E65"/>
    <w:rPr>
      <w:rFonts w:asciiTheme="majorHAnsi" w:eastAsiaTheme="majorEastAsia" w:hAnsiTheme="majorHAnsi" w:cstheme="majorBidi"/>
      <w:b/>
      <w:bCs/>
      <w:i/>
      <w:iCs/>
      <w:sz w:val="28"/>
      <w:szCs w:val="28"/>
      <w:lang w:eastAsia="de-DE"/>
    </w:rPr>
  </w:style>
  <w:style w:type="paragraph" w:styleId="Kopfzeile">
    <w:name w:val="header"/>
    <w:basedOn w:val="Standard"/>
    <w:link w:val="KopfzeileZchn"/>
    <w:uiPriority w:val="99"/>
    <w:unhideWhenUsed/>
    <w:rsid w:val="000E0E65"/>
    <w:pPr>
      <w:tabs>
        <w:tab w:val="center" w:pos="4536"/>
        <w:tab w:val="right" w:pos="9072"/>
      </w:tabs>
    </w:pPr>
  </w:style>
  <w:style w:type="character" w:customStyle="1" w:styleId="KopfzeileZchn">
    <w:name w:val="Kopfzeile Zchn"/>
    <w:basedOn w:val="Absatz-Standardschriftart"/>
    <w:link w:val="Kopfzeile"/>
    <w:uiPriority w:val="99"/>
    <w:rsid w:val="000E0E65"/>
    <w:rPr>
      <w:rFonts w:ascii="Times New Roman" w:eastAsia="Times New Roman" w:hAnsi="Times New Roman" w:cs="Times New Roman"/>
      <w:sz w:val="24"/>
      <w:szCs w:val="24"/>
      <w:lang w:eastAsia="de-DE"/>
    </w:rPr>
  </w:style>
  <w:style w:type="table" w:styleId="Tabellenraster">
    <w:name w:val="Table Grid"/>
    <w:basedOn w:val="NormaleTabelle"/>
    <w:uiPriority w:val="59"/>
    <w:rsid w:val="000E0E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0E65"/>
    <w:rPr>
      <w:color w:val="0000FF" w:themeColor="hyperlink"/>
      <w:u w:val="single"/>
    </w:rPr>
  </w:style>
  <w:style w:type="paragraph" w:styleId="Listenabsatz">
    <w:name w:val="List Paragraph"/>
    <w:basedOn w:val="Standard"/>
    <w:uiPriority w:val="34"/>
    <w:qFormat/>
    <w:rsid w:val="000E0E65"/>
    <w:pPr>
      <w:ind w:left="720"/>
      <w:contextualSpacing/>
    </w:pPr>
  </w:style>
  <w:style w:type="paragraph" w:customStyle="1" w:styleId="Default">
    <w:name w:val="Default"/>
    <w:rsid w:val="000E0E65"/>
    <w:pPr>
      <w:autoSpaceDE w:val="0"/>
      <w:autoSpaceDN w:val="0"/>
      <w:adjustRightInd w:val="0"/>
      <w:spacing w:after="0" w:line="240" w:lineRule="auto"/>
    </w:pPr>
    <w:rPr>
      <w:rFonts w:ascii="BundesSans Bold" w:eastAsia="Times New Roman" w:hAnsi="BundesSans Bold" w:cs="BundesSans Bold"/>
      <w:color w:val="000000"/>
      <w:sz w:val="24"/>
      <w:szCs w:val="24"/>
    </w:rPr>
  </w:style>
  <w:style w:type="paragraph" w:styleId="Fuzeile">
    <w:name w:val="footer"/>
    <w:basedOn w:val="Standard"/>
    <w:link w:val="FuzeileZchn"/>
    <w:uiPriority w:val="99"/>
    <w:unhideWhenUsed/>
    <w:rsid w:val="000E0E65"/>
    <w:pPr>
      <w:tabs>
        <w:tab w:val="center" w:pos="4536"/>
        <w:tab w:val="right" w:pos="9072"/>
      </w:tabs>
    </w:pPr>
  </w:style>
  <w:style w:type="character" w:customStyle="1" w:styleId="FuzeileZchn">
    <w:name w:val="Fußzeile Zchn"/>
    <w:basedOn w:val="Absatz-Standardschriftart"/>
    <w:link w:val="Fuzeile"/>
    <w:uiPriority w:val="99"/>
    <w:rsid w:val="000E0E65"/>
    <w:rPr>
      <w:rFonts w:ascii="Times New Roman" w:eastAsia="Times New Roman" w:hAnsi="Times New Roman" w:cs="Times New Roman"/>
      <w:sz w:val="24"/>
      <w:szCs w:val="24"/>
      <w:lang w:eastAsia="de-DE"/>
    </w:rPr>
  </w:style>
  <w:style w:type="character" w:styleId="Funotenzeichen">
    <w:name w:val="footnote reference"/>
    <w:basedOn w:val="Absatz-Standardschriftart"/>
    <w:semiHidden/>
    <w:rsid w:val="002B76C9"/>
    <w:rPr>
      <w:vertAlign w:val="superscript"/>
    </w:rPr>
  </w:style>
  <w:style w:type="paragraph" w:styleId="Funotentext">
    <w:name w:val="footnote text"/>
    <w:basedOn w:val="Standard"/>
    <w:link w:val="FunotentextZchn"/>
    <w:semiHidden/>
    <w:rsid w:val="002B76C9"/>
    <w:pPr>
      <w:spacing w:line="360" w:lineRule="auto"/>
    </w:pPr>
    <w:rPr>
      <w:rFonts w:ascii="Arial" w:hAnsi="Arial"/>
      <w:sz w:val="20"/>
      <w:szCs w:val="20"/>
    </w:rPr>
  </w:style>
  <w:style w:type="character" w:customStyle="1" w:styleId="FunotentextZchn">
    <w:name w:val="Fußnotentext Zchn"/>
    <w:basedOn w:val="Absatz-Standardschriftart"/>
    <w:link w:val="Funotentext"/>
    <w:semiHidden/>
    <w:rsid w:val="002B76C9"/>
    <w:rPr>
      <w:rFonts w:ascii="Arial" w:eastAsia="Times New Roman" w:hAnsi="Arial" w:cs="Times New Roman"/>
      <w:sz w:val="20"/>
      <w:szCs w:val="20"/>
      <w:lang w:eastAsia="de-DE"/>
    </w:rPr>
  </w:style>
  <w:style w:type="paragraph" w:styleId="Textkrper">
    <w:name w:val="Body Text"/>
    <w:basedOn w:val="Standard"/>
    <w:link w:val="TextkrperZchn"/>
    <w:rsid w:val="002B76C9"/>
    <w:pPr>
      <w:spacing w:line="360" w:lineRule="auto"/>
      <w:jc w:val="both"/>
    </w:pPr>
    <w:rPr>
      <w:rFonts w:ascii="Arial" w:hAnsi="Arial" w:cs="Arial"/>
    </w:rPr>
  </w:style>
  <w:style w:type="character" w:customStyle="1" w:styleId="TextkrperZchn">
    <w:name w:val="Textkörper Zchn"/>
    <w:basedOn w:val="Absatz-Standardschriftart"/>
    <w:link w:val="Textkrper"/>
    <w:rsid w:val="002B76C9"/>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7A5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CE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E65"/>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nhideWhenUsed/>
    <w:qFormat/>
    <w:rsid w:val="000E0E65"/>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E0E65"/>
    <w:rPr>
      <w:rFonts w:asciiTheme="majorHAnsi" w:eastAsiaTheme="majorEastAsia" w:hAnsiTheme="majorHAnsi" w:cstheme="majorBidi"/>
      <w:b/>
      <w:bCs/>
      <w:i/>
      <w:iCs/>
      <w:sz w:val="28"/>
      <w:szCs w:val="28"/>
      <w:lang w:eastAsia="de-DE"/>
    </w:rPr>
  </w:style>
  <w:style w:type="paragraph" w:styleId="Kopfzeile">
    <w:name w:val="header"/>
    <w:basedOn w:val="Standard"/>
    <w:link w:val="KopfzeileZchn"/>
    <w:uiPriority w:val="99"/>
    <w:unhideWhenUsed/>
    <w:rsid w:val="000E0E65"/>
    <w:pPr>
      <w:tabs>
        <w:tab w:val="center" w:pos="4536"/>
        <w:tab w:val="right" w:pos="9072"/>
      </w:tabs>
    </w:pPr>
  </w:style>
  <w:style w:type="character" w:customStyle="1" w:styleId="KopfzeileZchn">
    <w:name w:val="Kopfzeile Zchn"/>
    <w:basedOn w:val="Absatz-Standardschriftart"/>
    <w:link w:val="Kopfzeile"/>
    <w:uiPriority w:val="99"/>
    <w:rsid w:val="000E0E65"/>
    <w:rPr>
      <w:rFonts w:ascii="Times New Roman" w:eastAsia="Times New Roman" w:hAnsi="Times New Roman" w:cs="Times New Roman"/>
      <w:sz w:val="24"/>
      <w:szCs w:val="24"/>
      <w:lang w:eastAsia="de-DE"/>
    </w:rPr>
  </w:style>
  <w:style w:type="table" w:styleId="Tabellenraster">
    <w:name w:val="Table Grid"/>
    <w:basedOn w:val="NormaleTabelle"/>
    <w:uiPriority w:val="59"/>
    <w:rsid w:val="000E0E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0E65"/>
    <w:rPr>
      <w:color w:val="0000FF" w:themeColor="hyperlink"/>
      <w:u w:val="single"/>
    </w:rPr>
  </w:style>
  <w:style w:type="paragraph" w:styleId="Listenabsatz">
    <w:name w:val="List Paragraph"/>
    <w:basedOn w:val="Standard"/>
    <w:uiPriority w:val="34"/>
    <w:qFormat/>
    <w:rsid w:val="000E0E65"/>
    <w:pPr>
      <w:ind w:left="720"/>
      <w:contextualSpacing/>
    </w:pPr>
  </w:style>
  <w:style w:type="paragraph" w:customStyle="1" w:styleId="Default">
    <w:name w:val="Default"/>
    <w:rsid w:val="000E0E65"/>
    <w:pPr>
      <w:autoSpaceDE w:val="0"/>
      <w:autoSpaceDN w:val="0"/>
      <w:adjustRightInd w:val="0"/>
      <w:spacing w:after="0" w:line="240" w:lineRule="auto"/>
    </w:pPr>
    <w:rPr>
      <w:rFonts w:ascii="BundesSans Bold" w:eastAsia="Times New Roman" w:hAnsi="BundesSans Bold" w:cs="BundesSans Bold"/>
      <w:color w:val="000000"/>
      <w:sz w:val="24"/>
      <w:szCs w:val="24"/>
    </w:rPr>
  </w:style>
  <w:style w:type="paragraph" w:styleId="Fuzeile">
    <w:name w:val="footer"/>
    <w:basedOn w:val="Standard"/>
    <w:link w:val="FuzeileZchn"/>
    <w:uiPriority w:val="99"/>
    <w:unhideWhenUsed/>
    <w:rsid w:val="000E0E65"/>
    <w:pPr>
      <w:tabs>
        <w:tab w:val="center" w:pos="4536"/>
        <w:tab w:val="right" w:pos="9072"/>
      </w:tabs>
    </w:pPr>
  </w:style>
  <w:style w:type="character" w:customStyle="1" w:styleId="FuzeileZchn">
    <w:name w:val="Fußzeile Zchn"/>
    <w:basedOn w:val="Absatz-Standardschriftart"/>
    <w:link w:val="Fuzeile"/>
    <w:uiPriority w:val="99"/>
    <w:rsid w:val="000E0E65"/>
    <w:rPr>
      <w:rFonts w:ascii="Times New Roman" w:eastAsia="Times New Roman" w:hAnsi="Times New Roman" w:cs="Times New Roman"/>
      <w:sz w:val="24"/>
      <w:szCs w:val="24"/>
      <w:lang w:eastAsia="de-DE"/>
    </w:rPr>
  </w:style>
  <w:style w:type="character" w:styleId="Funotenzeichen">
    <w:name w:val="footnote reference"/>
    <w:basedOn w:val="Absatz-Standardschriftart"/>
    <w:semiHidden/>
    <w:rsid w:val="002B76C9"/>
    <w:rPr>
      <w:vertAlign w:val="superscript"/>
    </w:rPr>
  </w:style>
  <w:style w:type="paragraph" w:styleId="Funotentext">
    <w:name w:val="footnote text"/>
    <w:basedOn w:val="Standard"/>
    <w:link w:val="FunotentextZchn"/>
    <w:semiHidden/>
    <w:rsid w:val="002B76C9"/>
    <w:pPr>
      <w:spacing w:line="360" w:lineRule="auto"/>
    </w:pPr>
    <w:rPr>
      <w:rFonts w:ascii="Arial" w:hAnsi="Arial"/>
      <w:sz w:val="20"/>
      <w:szCs w:val="20"/>
    </w:rPr>
  </w:style>
  <w:style w:type="character" w:customStyle="1" w:styleId="FunotentextZchn">
    <w:name w:val="Fußnotentext Zchn"/>
    <w:basedOn w:val="Absatz-Standardschriftart"/>
    <w:link w:val="Funotentext"/>
    <w:semiHidden/>
    <w:rsid w:val="002B76C9"/>
    <w:rPr>
      <w:rFonts w:ascii="Arial" w:eastAsia="Times New Roman" w:hAnsi="Arial" w:cs="Times New Roman"/>
      <w:sz w:val="20"/>
      <w:szCs w:val="20"/>
      <w:lang w:eastAsia="de-DE"/>
    </w:rPr>
  </w:style>
  <w:style w:type="paragraph" w:styleId="Textkrper">
    <w:name w:val="Body Text"/>
    <w:basedOn w:val="Standard"/>
    <w:link w:val="TextkrperZchn"/>
    <w:rsid w:val="002B76C9"/>
    <w:pPr>
      <w:spacing w:line="360" w:lineRule="auto"/>
      <w:jc w:val="both"/>
    </w:pPr>
    <w:rPr>
      <w:rFonts w:ascii="Arial" w:hAnsi="Arial" w:cs="Arial"/>
    </w:rPr>
  </w:style>
  <w:style w:type="character" w:customStyle="1" w:styleId="TextkrperZchn">
    <w:name w:val="Textkörper Zchn"/>
    <w:basedOn w:val="Absatz-Standardschriftart"/>
    <w:link w:val="Textkrper"/>
    <w:rsid w:val="002B76C9"/>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7A5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CE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391D-56EC-4868-BD4B-41504D05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Klekamp</dc:creator>
  <cp:lastModifiedBy>Klekamp</cp:lastModifiedBy>
  <cp:revision>3</cp:revision>
  <cp:lastPrinted>2014-01-20T19:12:00Z</cp:lastPrinted>
  <dcterms:created xsi:type="dcterms:W3CDTF">2014-07-07T15:00:00Z</dcterms:created>
  <dcterms:modified xsi:type="dcterms:W3CDTF">2014-07-08T15:30:00Z</dcterms:modified>
</cp:coreProperties>
</file>